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5ACC" w14:textId="6AAE9628" w:rsidR="00673177" w:rsidRPr="00A2001B" w:rsidRDefault="003029BD" w:rsidP="00A2001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A2001B">
        <w:rPr>
          <w:rFonts w:ascii="Times New Roman" w:hAnsi="Times New Roman"/>
          <w:b/>
          <w:sz w:val="24"/>
          <w:szCs w:val="20"/>
        </w:rPr>
        <w:t xml:space="preserve">The Pesticides Law </w:t>
      </w:r>
      <w:r w:rsidR="00AE7F1F" w:rsidRPr="00A2001B">
        <w:rPr>
          <w:rFonts w:ascii="Times New Roman" w:hAnsi="Times New Roman"/>
          <w:b/>
          <w:sz w:val="24"/>
          <w:szCs w:val="20"/>
        </w:rPr>
        <w:t>u</w:t>
      </w:r>
      <w:r w:rsidRPr="00A2001B">
        <w:rPr>
          <w:rFonts w:ascii="Times New Roman" w:hAnsi="Times New Roman"/>
          <w:b/>
          <w:sz w:val="24"/>
          <w:szCs w:val="20"/>
        </w:rPr>
        <w:t xml:space="preserve">nder </w:t>
      </w:r>
      <w:r w:rsidR="00AE7F1F" w:rsidRPr="00A2001B">
        <w:rPr>
          <w:rFonts w:ascii="Times New Roman" w:hAnsi="Times New Roman"/>
          <w:b/>
          <w:sz w:val="24"/>
          <w:szCs w:val="20"/>
        </w:rPr>
        <w:t>t</w:t>
      </w:r>
      <w:r w:rsidRPr="00A2001B">
        <w:rPr>
          <w:rFonts w:ascii="Times New Roman" w:hAnsi="Times New Roman"/>
          <w:b/>
          <w:sz w:val="24"/>
          <w:szCs w:val="20"/>
        </w:rPr>
        <w:t xml:space="preserve">he Optics </w:t>
      </w:r>
      <w:r w:rsidR="00AE7F1F" w:rsidRPr="00A2001B">
        <w:rPr>
          <w:rFonts w:ascii="Times New Roman" w:hAnsi="Times New Roman"/>
          <w:b/>
          <w:sz w:val="24"/>
          <w:szCs w:val="20"/>
        </w:rPr>
        <w:t>o</w:t>
      </w:r>
      <w:r w:rsidRPr="00A2001B">
        <w:rPr>
          <w:rFonts w:ascii="Times New Roman" w:hAnsi="Times New Roman"/>
          <w:b/>
          <w:sz w:val="24"/>
          <w:szCs w:val="20"/>
        </w:rPr>
        <w:t>f Rural Producers</w:t>
      </w:r>
    </w:p>
    <w:p w14:paraId="203A1BAD" w14:textId="77777777" w:rsidR="00A2001B" w:rsidRDefault="00A2001B" w:rsidP="00A2001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u w:val="single"/>
        </w:rPr>
      </w:pPr>
    </w:p>
    <w:p w14:paraId="3AD9A816" w14:textId="65AFB185" w:rsidR="00222D29" w:rsidRPr="00A2001B" w:rsidRDefault="00CF7633" w:rsidP="00A2001B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</w:rPr>
      </w:pPr>
      <w:r w:rsidRPr="00A2001B">
        <w:rPr>
          <w:rFonts w:ascii="Times New Roman" w:hAnsi="Times New Roman"/>
          <w:b/>
          <w:sz w:val="24"/>
          <w:szCs w:val="20"/>
          <w:u w:val="single"/>
        </w:rPr>
        <w:t>TABLES</w:t>
      </w:r>
    </w:p>
    <w:p w14:paraId="7FFB3615" w14:textId="7CAC74F1" w:rsidR="0026455E" w:rsidRDefault="0026455E" w:rsidP="00A2001B">
      <w:pPr>
        <w:pStyle w:val="IDpaper-Text"/>
        <w:widowControl/>
        <w:spacing w:after="0"/>
        <w:ind w:firstLine="851"/>
        <w:jc w:val="both"/>
        <w:rPr>
          <w:rFonts w:ascii="Times New Roman" w:hAnsi="Times New Roman"/>
          <w:lang w:val="en-US"/>
        </w:rPr>
      </w:pPr>
    </w:p>
    <w:p w14:paraId="7F0F2A99" w14:textId="77777777" w:rsidR="00A2001B" w:rsidRPr="00A2001B" w:rsidRDefault="00A2001B" w:rsidP="00A2001B">
      <w:pPr>
        <w:pStyle w:val="IDpaper-Text"/>
        <w:widowControl/>
        <w:spacing w:after="0"/>
        <w:ind w:firstLine="851"/>
        <w:jc w:val="both"/>
        <w:rPr>
          <w:rFonts w:ascii="Times New Roman" w:hAnsi="Times New Roman"/>
          <w:lang w:val="en-US"/>
        </w:rPr>
      </w:pPr>
      <w:bookmarkStart w:id="0" w:name="_GoBack"/>
      <w:bookmarkEnd w:id="0"/>
    </w:p>
    <w:p w14:paraId="41C2CE2A" w14:textId="10804213" w:rsidR="000467B9" w:rsidRPr="00A2001B" w:rsidRDefault="000467B9" w:rsidP="00A20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2001B">
        <w:rPr>
          <w:rFonts w:ascii="Times New Roman" w:hAnsi="Times New Roman"/>
          <w:b/>
          <w:sz w:val="20"/>
          <w:szCs w:val="20"/>
        </w:rPr>
        <w:t>Table</w:t>
      </w:r>
      <w:r w:rsidR="00673177" w:rsidRPr="00A2001B">
        <w:rPr>
          <w:rFonts w:ascii="Times New Roman" w:hAnsi="Times New Roman"/>
          <w:b/>
          <w:sz w:val="20"/>
          <w:szCs w:val="20"/>
        </w:rPr>
        <w:t xml:space="preserve"> 1 – </w:t>
      </w:r>
      <w:r w:rsidRPr="00A2001B">
        <w:rPr>
          <w:rFonts w:ascii="Times New Roman" w:hAnsi="Times New Roman"/>
          <w:b/>
          <w:sz w:val="20"/>
          <w:szCs w:val="20"/>
        </w:rPr>
        <w:t xml:space="preserve">Distribution and grouping of the questions </w:t>
      </w:r>
      <w:r w:rsidR="00AD1046" w:rsidRPr="00A2001B">
        <w:rPr>
          <w:rFonts w:ascii="Times New Roman" w:hAnsi="Times New Roman"/>
          <w:b/>
          <w:sz w:val="20"/>
          <w:szCs w:val="20"/>
        </w:rPr>
        <w:t>o</w:t>
      </w:r>
      <w:r w:rsidRPr="00A2001B">
        <w:rPr>
          <w:rFonts w:ascii="Times New Roman" w:hAnsi="Times New Roman"/>
          <w:b/>
          <w:sz w:val="20"/>
          <w:szCs w:val="20"/>
        </w:rPr>
        <w:t>n the form applied to the rural producers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817"/>
        <w:gridCol w:w="4286"/>
        <w:gridCol w:w="2620"/>
      </w:tblGrid>
      <w:tr w:rsidR="00673177" w:rsidRPr="00A2001B" w14:paraId="3E5F920F" w14:textId="77777777" w:rsidTr="002A060D">
        <w:trPr>
          <w:trHeight w:val="113"/>
        </w:trPr>
        <w:tc>
          <w:tcPr>
            <w:tcW w:w="1418" w:type="dxa"/>
            <w:noWrap/>
          </w:tcPr>
          <w:p w14:paraId="696BF4CD" w14:textId="77777777" w:rsidR="00673177" w:rsidRPr="00A2001B" w:rsidRDefault="002A6259" w:rsidP="00A20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bCs/>
                <w:sz w:val="20"/>
                <w:szCs w:val="20"/>
              </w:rPr>
              <w:t>Construct</w:t>
            </w:r>
          </w:p>
        </w:tc>
        <w:tc>
          <w:tcPr>
            <w:tcW w:w="817" w:type="dxa"/>
            <w:noWrap/>
          </w:tcPr>
          <w:p w14:paraId="6D9B4A9D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286" w:type="dxa"/>
            <w:noWrap/>
          </w:tcPr>
          <w:p w14:paraId="798A69AF" w14:textId="77777777" w:rsidR="00673177" w:rsidRPr="00A2001B" w:rsidRDefault="002A6259" w:rsidP="00A20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620" w:type="dxa"/>
          </w:tcPr>
          <w:p w14:paraId="4E055A21" w14:textId="77777777" w:rsidR="00673177" w:rsidRPr="00A2001B" w:rsidRDefault="002A6259" w:rsidP="00A20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</w:t>
            </w:r>
            <w:r w:rsidR="00673177" w:rsidRPr="00A2001B">
              <w:rPr>
                <w:rFonts w:ascii="Times New Roman" w:hAnsi="Times New Roman"/>
                <w:b/>
                <w:bCs/>
                <w:sz w:val="20"/>
                <w:szCs w:val="20"/>
              </w:rPr>
              <w:t>egal</w:t>
            </w:r>
            <w:r w:rsidRPr="00A200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Basis</w:t>
            </w:r>
          </w:p>
        </w:tc>
      </w:tr>
      <w:tr w:rsidR="00673177" w:rsidRPr="00A2001B" w14:paraId="7EC60445" w14:textId="77777777" w:rsidTr="002A060D">
        <w:trPr>
          <w:trHeight w:val="113"/>
        </w:trPr>
        <w:tc>
          <w:tcPr>
            <w:tcW w:w="1418" w:type="dxa"/>
            <w:vMerge w:val="restart"/>
          </w:tcPr>
          <w:p w14:paraId="73731CC4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238ACF" w14:textId="73FC06AA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 – </w:t>
            </w:r>
            <w:r w:rsidR="005216CC" w:rsidRPr="00A2001B">
              <w:rPr>
                <w:rFonts w:ascii="Times New Roman" w:hAnsi="Times New Roman"/>
                <w:sz w:val="20"/>
                <w:szCs w:val="20"/>
              </w:rPr>
              <w:t>R</w:t>
            </w:r>
            <w:r w:rsidR="002A6259" w:rsidRPr="00A2001B">
              <w:rPr>
                <w:rFonts w:ascii="Times New Roman" w:hAnsi="Times New Roman"/>
                <w:sz w:val="20"/>
                <w:szCs w:val="20"/>
              </w:rPr>
              <w:t>eturn empty packages</w:t>
            </w:r>
            <w:r w:rsidR="002B29EB" w:rsidRPr="00A2001B">
              <w:rPr>
                <w:rFonts w:ascii="Times New Roman" w:hAnsi="Times New Roman"/>
                <w:sz w:val="20"/>
                <w:szCs w:val="20"/>
              </w:rPr>
              <w:t xml:space="preserve"> in accordance with the instructions received </w:t>
            </w:r>
            <w:r w:rsidR="005216CC" w:rsidRPr="00A2001B">
              <w:rPr>
                <w:rFonts w:ascii="Times New Roman" w:hAnsi="Times New Roman"/>
                <w:sz w:val="20"/>
                <w:szCs w:val="20"/>
              </w:rPr>
              <w:t>at</w:t>
            </w:r>
            <w:r w:rsidR="002B29EB" w:rsidRPr="00A2001B">
              <w:rPr>
                <w:rFonts w:ascii="Times New Roman" w:hAnsi="Times New Roman"/>
                <w:sz w:val="20"/>
                <w:szCs w:val="20"/>
              </w:rPr>
              <w:t xml:space="preserve"> the commercial establishment where the pesticide was purchased or the collector stations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90E790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7A105A46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P-01</w:t>
            </w:r>
          </w:p>
        </w:tc>
        <w:tc>
          <w:tcPr>
            <w:tcW w:w="4286" w:type="dxa"/>
            <w:noWrap/>
          </w:tcPr>
          <w:p w14:paraId="60641CE6" w14:textId="482E6899" w:rsidR="00673177" w:rsidRPr="00A2001B" w:rsidRDefault="00BA24A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 am always informed there is a requirement 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o return the empty packages of agricultural </w:t>
            </w:r>
            <w:r w:rsidR="00907291" w:rsidRPr="00A2001B">
              <w:rPr>
                <w:rFonts w:ascii="Times New Roman" w:hAnsi="Times New Roman"/>
                <w:sz w:val="20"/>
                <w:szCs w:val="20"/>
              </w:rPr>
              <w:t>pesticides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.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20" w:type="dxa"/>
          </w:tcPr>
          <w:p w14:paraId="7BB58BED" w14:textId="77777777" w:rsidR="00673177" w:rsidRPr="00A2001B" w:rsidRDefault="0020024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7º, II, “d” of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="00BA24A7" w:rsidRPr="00A2001B">
              <w:rPr>
                <w:rFonts w:ascii="Times New Roman" w:hAnsi="Times New Roman"/>
                <w:sz w:val="20"/>
                <w:szCs w:val="20"/>
              </w:rPr>
              <w:t>aw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7.802/1989 and Art. 53 of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3177"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="00673177"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20ED4548" w14:textId="77777777" w:rsidTr="002A060D">
        <w:trPr>
          <w:trHeight w:val="113"/>
        </w:trPr>
        <w:tc>
          <w:tcPr>
            <w:tcW w:w="1418" w:type="dxa"/>
            <w:vMerge/>
          </w:tcPr>
          <w:p w14:paraId="0D9ED0F7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20C35DFD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P-02</w:t>
            </w:r>
          </w:p>
        </w:tc>
        <w:tc>
          <w:tcPr>
            <w:tcW w:w="4286" w:type="dxa"/>
            <w:noWrap/>
          </w:tcPr>
          <w:p w14:paraId="01F9669D" w14:textId="35377F69" w:rsidR="00673177" w:rsidRPr="00A2001B" w:rsidRDefault="00186DD3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I</w:t>
            </w:r>
            <w:r w:rsidR="00F22168" w:rsidRPr="00A2001B">
              <w:rPr>
                <w:rFonts w:ascii="Times New Roman" w:hAnsi="Times New Roman"/>
                <w:sz w:val="20"/>
                <w:szCs w:val="20"/>
              </w:rPr>
              <w:t xml:space="preserve"> read the instructions o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n</w:t>
            </w:r>
            <w:r w:rsidR="00F22168" w:rsidRPr="00A2001B">
              <w:rPr>
                <w:rFonts w:ascii="Times New Roman" w:hAnsi="Times New Roman"/>
                <w:sz w:val="20"/>
                <w:szCs w:val="20"/>
              </w:rPr>
              <w:t xml:space="preserve"> the leaflets and labels of agricultural pesticides before using them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</w:tcPr>
          <w:p w14:paraId="57E2553F" w14:textId="77777777" w:rsidR="00673177" w:rsidRPr="00A2001B" w:rsidRDefault="0020024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6º § 2º; Art. 7º, IV of Law 7.802/1989 and Art. 52 of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3177"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="00673177"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5A8F6D94" w14:textId="77777777" w:rsidTr="002A060D">
        <w:trPr>
          <w:trHeight w:val="113"/>
        </w:trPr>
        <w:tc>
          <w:tcPr>
            <w:tcW w:w="1418" w:type="dxa"/>
            <w:vMerge/>
          </w:tcPr>
          <w:p w14:paraId="49879B25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7257B8EC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P-03</w:t>
            </w:r>
          </w:p>
        </w:tc>
        <w:tc>
          <w:tcPr>
            <w:tcW w:w="4286" w:type="dxa"/>
            <w:noWrap/>
          </w:tcPr>
          <w:p w14:paraId="2A5E37D0" w14:textId="2583F75B" w:rsidR="00673177" w:rsidRPr="00A2001B" w:rsidRDefault="003F3851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I read the instructions o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n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leaflets and labels of agricultural </w:t>
            </w:r>
            <w:r w:rsidR="002347CB" w:rsidRPr="00A2001B">
              <w:rPr>
                <w:rFonts w:ascii="Times New Roman" w:hAnsi="Times New Roman"/>
                <w:sz w:val="20"/>
                <w:szCs w:val="20"/>
              </w:rPr>
              <w:t>pesticides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 xml:space="preserve"> for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return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of the packages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</w:tcPr>
          <w:p w14:paraId="7B8FE69F" w14:textId="77777777" w:rsidR="00673177" w:rsidRPr="00A2001B" w:rsidRDefault="0020024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6º § 2º of Law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7.802/1989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and Art. 52 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3177"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="00673177"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301C1BC8" w14:textId="77777777" w:rsidTr="002A060D">
        <w:trPr>
          <w:trHeight w:val="113"/>
        </w:trPr>
        <w:tc>
          <w:tcPr>
            <w:tcW w:w="1418" w:type="dxa"/>
            <w:vMerge/>
          </w:tcPr>
          <w:p w14:paraId="4B6B9E82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7AACAF99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P-08</w:t>
            </w:r>
          </w:p>
        </w:tc>
        <w:tc>
          <w:tcPr>
            <w:tcW w:w="4286" w:type="dxa"/>
            <w:noWrap/>
          </w:tcPr>
          <w:p w14:paraId="4DD980A2" w14:textId="08A7D859" w:rsidR="00673177" w:rsidRPr="00A2001B" w:rsidRDefault="00E322E6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 always return the packages to the 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>address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indicated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 xml:space="preserve">n the purchase 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i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>nvoice.</w:t>
            </w:r>
          </w:p>
        </w:tc>
        <w:tc>
          <w:tcPr>
            <w:tcW w:w="2620" w:type="dxa"/>
          </w:tcPr>
          <w:p w14:paraId="2C28B107" w14:textId="77777777" w:rsidR="00673177" w:rsidRPr="00A2001B" w:rsidRDefault="0020024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53 § 2º of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3177"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="00673177"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55FE0B12" w14:textId="77777777" w:rsidTr="002A060D">
        <w:trPr>
          <w:trHeight w:val="113"/>
        </w:trPr>
        <w:tc>
          <w:tcPr>
            <w:tcW w:w="1418" w:type="dxa"/>
            <w:vMerge/>
          </w:tcPr>
          <w:p w14:paraId="41629103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7D61F342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P-09</w:t>
            </w:r>
          </w:p>
        </w:tc>
        <w:tc>
          <w:tcPr>
            <w:tcW w:w="4286" w:type="dxa"/>
            <w:noWrap/>
          </w:tcPr>
          <w:p w14:paraId="31BE1CA5" w14:textId="2A238C86" w:rsidR="00673177" w:rsidRPr="00A2001B" w:rsidRDefault="00FC3C3F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When I have out-of-date agricultural pesticides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,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I return them.</w:t>
            </w:r>
          </w:p>
        </w:tc>
        <w:tc>
          <w:tcPr>
            <w:tcW w:w="2620" w:type="dxa"/>
          </w:tcPr>
          <w:p w14:paraId="655DAE8C" w14:textId="77777777" w:rsidR="00673177" w:rsidRPr="00A2001B" w:rsidRDefault="0020024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6º § 2º of Law Lei 7.802/1989 and Art. 53 § 4º of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3177"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="00673177"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2C109F41" w14:textId="77777777" w:rsidTr="002A060D">
        <w:trPr>
          <w:trHeight w:val="113"/>
        </w:trPr>
        <w:tc>
          <w:tcPr>
            <w:tcW w:w="1418" w:type="dxa"/>
            <w:vMerge/>
          </w:tcPr>
          <w:p w14:paraId="0DFBA60E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0A1E2BE0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P-10</w:t>
            </w:r>
          </w:p>
        </w:tc>
        <w:tc>
          <w:tcPr>
            <w:tcW w:w="4286" w:type="dxa"/>
            <w:noWrap/>
          </w:tcPr>
          <w:p w14:paraId="4285DA1C" w14:textId="6F8649A3" w:rsidR="00673177" w:rsidRPr="00A2001B" w:rsidRDefault="00186DD3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I a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 xml:space="preserve">lways pay the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 xml:space="preserve">costs to transport the 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>package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s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to</w:t>
            </w:r>
            <w:r w:rsidR="00FC3C3F" w:rsidRPr="00A2001B">
              <w:rPr>
                <w:rFonts w:ascii="Times New Roman" w:hAnsi="Times New Roman"/>
                <w:sz w:val="20"/>
                <w:szCs w:val="20"/>
              </w:rPr>
              <w:t xml:space="preserve"> the collector station.</w:t>
            </w:r>
          </w:p>
        </w:tc>
        <w:tc>
          <w:tcPr>
            <w:tcW w:w="2620" w:type="dxa"/>
          </w:tcPr>
          <w:p w14:paraId="240D44AE" w14:textId="77777777" w:rsidR="00673177" w:rsidRPr="00A2001B" w:rsidRDefault="0020024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6º § 2º of Law 7.802/1989 and Art. 53 of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3177"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="00673177"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59465449" w14:textId="77777777" w:rsidTr="002A060D">
        <w:trPr>
          <w:trHeight w:val="113"/>
        </w:trPr>
        <w:tc>
          <w:tcPr>
            <w:tcW w:w="1418" w:type="dxa"/>
            <w:vMerge/>
          </w:tcPr>
          <w:p w14:paraId="14BA4480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48E2ABB4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P-12</w:t>
            </w:r>
          </w:p>
        </w:tc>
        <w:tc>
          <w:tcPr>
            <w:tcW w:w="4286" w:type="dxa"/>
            <w:noWrap/>
          </w:tcPr>
          <w:p w14:paraId="3AE203FD" w14:textId="43641987" w:rsidR="00673177" w:rsidRPr="00A2001B" w:rsidRDefault="00186DD3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I a</w:t>
            </w:r>
            <w:r w:rsidR="00CD280D" w:rsidRPr="00A2001B">
              <w:rPr>
                <w:rFonts w:ascii="Times New Roman" w:hAnsi="Times New Roman"/>
                <w:sz w:val="20"/>
                <w:szCs w:val="20"/>
              </w:rPr>
              <w:t xml:space="preserve">lways return the empty packages of agricultural pesticides to the </w:t>
            </w:r>
            <w:r w:rsidR="00423CD1" w:rsidRPr="00A2001B">
              <w:rPr>
                <w:rFonts w:ascii="Times New Roman" w:hAnsi="Times New Roman"/>
                <w:sz w:val="20"/>
                <w:szCs w:val="20"/>
              </w:rPr>
              <w:t>retailers where I purchase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d</w:t>
            </w:r>
            <w:r w:rsidR="00423CD1" w:rsidRPr="00A2001B">
              <w:rPr>
                <w:rFonts w:ascii="Times New Roman" w:hAnsi="Times New Roman"/>
                <w:sz w:val="20"/>
                <w:szCs w:val="20"/>
              </w:rPr>
              <w:t xml:space="preserve"> them.</w:t>
            </w:r>
          </w:p>
        </w:tc>
        <w:tc>
          <w:tcPr>
            <w:tcW w:w="2620" w:type="dxa"/>
          </w:tcPr>
          <w:p w14:paraId="0BBFD475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Art. 6º § 2º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of Law 7.802/1989 and Art. 53 of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5D16C416" w14:textId="77777777" w:rsidTr="002A060D">
        <w:trPr>
          <w:trHeight w:val="113"/>
        </w:trPr>
        <w:tc>
          <w:tcPr>
            <w:tcW w:w="1418" w:type="dxa"/>
            <w:vMerge w:val="restart"/>
          </w:tcPr>
          <w:p w14:paraId="7A1C4ECE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083052" w14:textId="1CB7202D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B – </w:t>
            </w:r>
            <w:r w:rsidR="005216CC" w:rsidRPr="00A2001B">
              <w:rPr>
                <w:rFonts w:ascii="Times New Roman" w:hAnsi="Times New Roman"/>
                <w:sz w:val="20"/>
                <w:szCs w:val="20"/>
              </w:rPr>
              <w:t>Perform</w:t>
            </w:r>
            <w:r w:rsidR="009A451D" w:rsidRPr="00A2001B">
              <w:rPr>
                <w:rFonts w:ascii="Times New Roman" w:hAnsi="Times New Roman"/>
                <w:sz w:val="20"/>
                <w:szCs w:val="20"/>
              </w:rPr>
              <w:t xml:space="preserve"> the triple washing of the empty packages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A451D" w:rsidRPr="00A2001B">
              <w:rPr>
                <w:rFonts w:ascii="Times New Roman" w:hAnsi="Times New Roman"/>
                <w:sz w:val="20"/>
                <w:szCs w:val="20"/>
              </w:rPr>
              <w:t xml:space="preserve">necessary preparation and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storage</w:t>
            </w:r>
            <w:r w:rsidR="009A451D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16CC"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="009A451D" w:rsidRPr="00A2001B">
              <w:rPr>
                <w:rFonts w:ascii="Times New Roman" w:hAnsi="Times New Roman"/>
                <w:sz w:val="20"/>
                <w:szCs w:val="20"/>
              </w:rPr>
              <w:t>n the rural property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 xml:space="preserve"> before returning the packages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327A73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4F90849D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P-04</w:t>
            </w:r>
          </w:p>
        </w:tc>
        <w:tc>
          <w:tcPr>
            <w:tcW w:w="4286" w:type="dxa"/>
            <w:noWrap/>
          </w:tcPr>
          <w:p w14:paraId="763C582B" w14:textId="12FDB01A" w:rsidR="00673177" w:rsidRPr="00A2001B" w:rsidRDefault="007D7A6F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have been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informed about the need 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o prepar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e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packages for correct disposal.</w:t>
            </w:r>
          </w:p>
        </w:tc>
        <w:tc>
          <w:tcPr>
            <w:tcW w:w="2620" w:type="dxa"/>
          </w:tcPr>
          <w:p w14:paraId="040F615C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Art. 6º § 4º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of Law 7.802/1989 and Art. 53 § 5º of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72928235" w14:textId="77777777" w:rsidTr="002A060D">
        <w:trPr>
          <w:trHeight w:val="113"/>
        </w:trPr>
        <w:tc>
          <w:tcPr>
            <w:tcW w:w="1418" w:type="dxa"/>
            <w:vMerge/>
          </w:tcPr>
          <w:p w14:paraId="4D6D6CA3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79ED9196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P-05</w:t>
            </w:r>
          </w:p>
        </w:tc>
        <w:tc>
          <w:tcPr>
            <w:tcW w:w="4286" w:type="dxa"/>
            <w:noWrap/>
          </w:tcPr>
          <w:p w14:paraId="29F728AC" w14:textId="2F04FAC0" w:rsidR="00673177" w:rsidRPr="00A2001B" w:rsidRDefault="007D7A6F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have been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informed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 xml:space="preserve">that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 need to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store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them temporarily in appropriate locations 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n my property.</w:t>
            </w:r>
          </w:p>
        </w:tc>
        <w:tc>
          <w:tcPr>
            <w:tcW w:w="2620" w:type="dxa"/>
          </w:tcPr>
          <w:p w14:paraId="09E007A9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Art. 6º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of Law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7.802/1989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and Art. 53 of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2CD4DF1A" w14:textId="77777777" w:rsidTr="002A060D">
        <w:trPr>
          <w:trHeight w:val="113"/>
        </w:trPr>
        <w:tc>
          <w:tcPr>
            <w:tcW w:w="1418" w:type="dxa"/>
            <w:vMerge/>
          </w:tcPr>
          <w:p w14:paraId="799A24B6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297F44E4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P-06</w:t>
            </w:r>
          </w:p>
        </w:tc>
        <w:tc>
          <w:tcPr>
            <w:tcW w:w="4286" w:type="dxa"/>
            <w:noWrap/>
          </w:tcPr>
          <w:p w14:paraId="1282B287" w14:textId="002B554E" w:rsidR="00673177" w:rsidRPr="00A2001B" w:rsidRDefault="00EE08F1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During</w:t>
            </w:r>
            <w:r w:rsidR="007D7A6F" w:rsidRPr="00A2001B">
              <w:rPr>
                <w:rFonts w:ascii="Times New Roman" w:hAnsi="Times New Roman"/>
                <w:sz w:val="20"/>
                <w:szCs w:val="20"/>
              </w:rPr>
              <w:t xml:space="preserve"> purchase, the retailer gives instructions o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="007D7A6F" w:rsidRPr="00A2001B">
              <w:rPr>
                <w:rFonts w:ascii="Times New Roman" w:hAnsi="Times New Roman"/>
                <w:sz w:val="20"/>
                <w:szCs w:val="20"/>
              </w:rPr>
              <w:t xml:space="preserve">washing, packaging,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storage</w:t>
            </w:r>
            <w:r w:rsidR="007D7A6F" w:rsidRPr="00A2001B">
              <w:rPr>
                <w:rFonts w:ascii="Times New Roman" w:hAnsi="Times New Roman"/>
                <w:sz w:val="20"/>
                <w:szCs w:val="20"/>
              </w:rPr>
              <w:t>, transportation and return of the packages.</w:t>
            </w:r>
          </w:p>
        </w:tc>
        <w:tc>
          <w:tcPr>
            <w:tcW w:w="2620" w:type="dxa"/>
          </w:tcPr>
          <w:p w14:paraId="3B079466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Art. 7º, II, “d”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of Law 7.802/1989 and Annex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IX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in the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51671EA1" w14:textId="77777777" w:rsidTr="002A060D">
        <w:trPr>
          <w:trHeight w:val="113"/>
        </w:trPr>
        <w:tc>
          <w:tcPr>
            <w:tcW w:w="1418" w:type="dxa"/>
            <w:vMerge/>
          </w:tcPr>
          <w:p w14:paraId="7D7FBE4F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28B4E30C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P-07</w:t>
            </w:r>
          </w:p>
        </w:tc>
        <w:tc>
          <w:tcPr>
            <w:tcW w:w="4286" w:type="dxa"/>
            <w:noWrap/>
          </w:tcPr>
          <w:p w14:paraId="3E77110F" w14:textId="1AC32549" w:rsidR="00673177" w:rsidRPr="00A2001B" w:rsidRDefault="006527A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I disable the package right after triple washing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 xml:space="preserve"> it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</w:tcPr>
          <w:p w14:paraId="78D65426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Art. 7º, II, “d”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of Law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7.802/1989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and Annex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IX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 xml:space="preserve"> in the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637A8D32" w14:textId="77777777" w:rsidTr="002A060D">
        <w:trPr>
          <w:trHeight w:val="113"/>
        </w:trPr>
        <w:tc>
          <w:tcPr>
            <w:tcW w:w="1418" w:type="dxa"/>
            <w:vMerge/>
          </w:tcPr>
          <w:p w14:paraId="7C0EE4D2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626D406D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P-17</w:t>
            </w:r>
          </w:p>
        </w:tc>
        <w:tc>
          <w:tcPr>
            <w:tcW w:w="4286" w:type="dxa"/>
            <w:noWrap/>
          </w:tcPr>
          <w:p w14:paraId="144D846B" w14:textId="47CC4ED1" w:rsidR="00673177" w:rsidRPr="00A2001B" w:rsidRDefault="00AB0D91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I triple wash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 xml:space="preserve"> the packages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when 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 xml:space="preserve">told to do so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in the leaflet instructions.</w:t>
            </w:r>
          </w:p>
        </w:tc>
        <w:tc>
          <w:tcPr>
            <w:tcW w:w="2620" w:type="dxa"/>
          </w:tcPr>
          <w:p w14:paraId="7CDDC925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6º § 3º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 xml:space="preserve"> of Law 7.802/1989 and Art. 53 § 6º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44B5F429" w14:textId="77777777" w:rsidTr="002A060D">
        <w:trPr>
          <w:trHeight w:val="113"/>
        </w:trPr>
        <w:tc>
          <w:tcPr>
            <w:tcW w:w="1418" w:type="dxa"/>
            <w:vMerge w:val="restart"/>
          </w:tcPr>
          <w:p w14:paraId="6F87A1A2" w14:textId="03F8946D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C – </w:t>
            </w:r>
            <w:r w:rsidR="00B21203" w:rsidRPr="00A2001B">
              <w:rPr>
                <w:rFonts w:ascii="Times New Roman" w:hAnsi="Times New Roman"/>
                <w:sz w:val="20"/>
                <w:szCs w:val="20"/>
              </w:rPr>
              <w:t xml:space="preserve">Keep available 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f</w:t>
            </w:r>
            <w:r w:rsidR="00B21203"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="00EE08F1" w:rsidRPr="00A2001B">
              <w:rPr>
                <w:rFonts w:ascii="Times New Roman" w:hAnsi="Times New Roman"/>
                <w:sz w:val="20"/>
                <w:szCs w:val="20"/>
              </w:rPr>
              <w:t>r</w:t>
            </w:r>
            <w:r w:rsidR="00B21203" w:rsidRPr="00A2001B">
              <w:rPr>
                <w:rFonts w:ascii="Times New Roman" w:hAnsi="Times New Roman"/>
                <w:sz w:val="20"/>
                <w:szCs w:val="20"/>
              </w:rPr>
              <w:t xml:space="preserve"> the inspection agencie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s</w:t>
            </w:r>
            <w:r w:rsidR="00B21203" w:rsidRPr="00A2001B">
              <w:rPr>
                <w:rFonts w:ascii="Times New Roman" w:hAnsi="Times New Roman"/>
                <w:sz w:val="20"/>
                <w:szCs w:val="20"/>
              </w:rPr>
              <w:t xml:space="preserve"> the return receipts of empty packages.</w:t>
            </w:r>
          </w:p>
          <w:p w14:paraId="4150C853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5321F763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P-11</w:t>
            </w:r>
          </w:p>
        </w:tc>
        <w:tc>
          <w:tcPr>
            <w:tcW w:w="4286" w:type="dxa"/>
          </w:tcPr>
          <w:p w14:paraId="591C65A2" w14:textId="47635656" w:rsidR="00673177" w:rsidRPr="00A2001B" w:rsidRDefault="00C55408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The Collector Station 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>a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lways gives 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 xml:space="preserve">me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a receipt</w:t>
            </w:r>
            <w:r w:rsidR="001D2853" w:rsidRPr="00A2001B"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>or</w:t>
            </w:r>
            <w:r w:rsidR="001D2853" w:rsidRPr="00A2001B">
              <w:rPr>
                <w:rFonts w:ascii="Times New Roman" w:hAnsi="Times New Roman"/>
                <w:sz w:val="20"/>
                <w:szCs w:val="20"/>
              </w:rPr>
              <w:t xml:space="preserve"> packages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 xml:space="preserve"> returned</w:t>
            </w:r>
            <w:r w:rsidR="001D2853"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20" w:type="dxa"/>
          </w:tcPr>
          <w:p w14:paraId="3173DB6F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53 § 3</w:t>
            </w:r>
            <w:r w:rsidR="00186DD3" w:rsidRPr="00A2001B">
              <w:rPr>
                <w:rFonts w:ascii="Times New Roman" w:hAnsi="Times New Roman"/>
                <w:sz w:val="20"/>
                <w:szCs w:val="20"/>
              </w:rPr>
              <w:t>º and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Art. 55 </w:t>
            </w:r>
            <w:r w:rsidR="007104E3" w:rsidRPr="00A2001B">
              <w:rPr>
                <w:rFonts w:ascii="Times New Roman" w:hAnsi="Times New Roman"/>
                <w:sz w:val="20"/>
                <w:szCs w:val="20"/>
              </w:rPr>
              <w:t>of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1800E69D" w14:textId="77777777" w:rsidTr="002A060D">
        <w:trPr>
          <w:trHeight w:val="113"/>
        </w:trPr>
        <w:tc>
          <w:tcPr>
            <w:tcW w:w="1418" w:type="dxa"/>
            <w:vMerge/>
          </w:tcPr>
          <w:p w14:paraId="1364A3A3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16E6566B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P-13</w:t>
            </w:r>
          </w:p>
        </w:tc>
        <w:tc>
          <w:tcPr>
            <w:tcW w:w="4286" w:type="dxa"/>
          </w:tcPr>
          <w:p w14:paraId="1D8E152C" w14:textId="32DF2F13" w:rsidR="00673177" w:rsidRPr="00A2001B" w:rsidRDefault="001D2853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I keep archived for inspection purpose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>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purchase invoices and return receipt 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>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>r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empty packages.</w:t>
            </w:r>
          </w:p>
        </w:tc>
        <w:tc>
          <w:tcPr>
            <w:tcW w:w="2620" w:type="dxa"/>
          </w:tcPr>
          <w:p w14:paraId="6ECF0BB4" w14:textId="77777777" w:rsidR="00673177" w:rsidRPr="00A2001B" w:rsidRDefault="0020024D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53 § 3º of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3177" w:rsidRPr="00A2001B">
              <w:rPr>
                <w:rFonts w:ascii="Times New Roman" w:hAnsi="Times New Roman"/>
                <w:sz w:val="20"/>
                <w:szCs w:val="20"/>
              </w:rPr>
              <w:t>Decr</w:t>
            </w:r>
            <w:proofErr w:type="spellEnd"/>
            <w:r w:rsidR="00673177" w:rsidRPr="00A2001B">
              <w:rPr>
                <w:rFonts w:ascii="Times New Roman" w:hAnsi="Times New Roman"/>
                <w:sz w:val="20"/>
                <w:szCs w:val="20"/>
              </w:rPr>
              <w:t>. 4.074/2002</w:t>
            </w:r>
          </w:p>
        </w:tc>
      </w:tr>
      <w:tr w:rsidR="00673177" w:rsidRPr="00A2001B" w14:paraId="5F738B46" w14:textId="77777777" w:rsidTr="002A060D">
        <w:trPr>
          <w:trHeight w:val="113"/>
        </w:trPr>
        <w:tc>
          <w:tcPr>
            <w:tcW w:w="1418" w:type="dxa"/>
            <w:vMerge/>
          </w:tcPr>
          <w:p w14:paraId="759BD000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75878E53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P-14</w:t>
            </w:r>
          </w:p>
        </w:tc>
        <w:tc>
          <w:tcPr>
            <w:tcW w:w="4286" w:type="dxa"/>
          </w:tcPr>
          <w:p w14:paraId="6C6C0FF1" w14:textId="371DCA2A" w:rsidR="00673177" w:rsidRPr="00A2001B" w:rsidRDefault="00B55C8E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When I make a new purchase of agricultural pesticide, I am charged by the retailer 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the empty packages from the last purchase.</w:t>
            </w:r>
          </w:p>
        </w:tc>
        <w:tc>
          <w:tcPr>
            <w:tcW w:w="2620" w:type="dxa"/>
          </w:tcPr>
          <w:p w14:paraId="08AC9241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Art. 19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 xml:space="preserve"> sole paragraph of Law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7.802/1989</w:t>
            </w:r>
          </w:p>
        </w:tc>
      </w:tr>
      <w:tr w:rsidR="00673177" w:rsidRPr="00A2001B" w14:paraId="0EDAAAFC" w14:textId="77777777" w:rsidTr="002A060D">
        <w:trPr>
          <w:trHeight w:val="113"/>
        </w:trPr>
        <w:tc>
          <w:tcPr>
            <w:tcW w:w="1418" w:type="dxa"/>
            <w:vMerge/>
          </w:tcPr>
          <w:p w14:paraId="6EB2D717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5DF28550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P-15</w:t>
            </w:r>
          </w:p>
        </w:tc>
        <w:tc>
          <w:tcPr>
            <w:tcW w:w="4286" w:type="dxa"/>
          </w:tcPr>
          <w:p w14:paraId="3BF146EC" w14:textId="0803D397" w:rsidR="00673177" w:rsidRPr="00A2001B" w:rsidRDefault="0023494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 xml:space="preserve">am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regularly inspect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>ed regarding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r w:rsidR="000B5336" w:rsidRPr="00A2001B">
              <w:rPr>
                <w:rFonts w:ascii="Times New Roman" w:hAnsi="Times New Roman"/>
                <w:sz w:val="20"/>
                <w:szCs w:val="20"/>
              </w:rPr>
              <w:t>storage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, transportation and return of empty packages of agricultural pesticides.</w:t>
            </w:r>
          </w:p>
        </w:tc>
        <w:tc>
          <w:tcPr>
            <w:tcW w:w="2620" w:type="dxa"/>
          </w:tcPr>
          <w:p w14:paraId="323AA50D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Art. 12A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of Law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7.802/1989</w:t>
            </w:r>
          </w:p>
        </w:tc>
      </w:tr>
      <w:tr w:rsidR="00673177" w:rsidRPr="00A2001B" w14:paraId="7428CC68" w14:textId="77777777" w:rsidTr="002A060D">
        <w:trPr>
          <w:trHeight w:val="113"/>
        </w:trPr>
        <w:tc>
          <w:tcPr>
            <w:tcW w:w="1418" w:type="dxa"/>
            <w:vMerge/>
          </w:tcPr>
          <w:p w14:paraId="75DE2F0E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noWrap/>
          </w:tcPr>
          <w:p w14:paraId="67C01E0D" w14:textId="77777777" w:rsidR="00673177" w:rsidRPr="00A2001B" w:rsidRDefault="0067317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P-16</w:t>
            </w:r>
          </w:p>
        </w:tc>
        <w:tc>
          <w:tcPr>
            <w:tcW w:w="4286" w:type="dxa"/>
          </w:tcPr>
          <w:p w14:paraId="504DBD33" w14:textId="15D8F963" w:rsidR="00673177" w:rsidRPr="00A2001B" w:rsidRDefault="00234947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 am aware of the penalties applied for inadequate </w:t>
            </w:r>
            <w:r w:rsidR="00C83A65" w:rsidRPr="00A2001B">
              <w:rPr>
                <w:rFonts w:ascii="Times New Roman" w:hAnsi="Times New Roman"/>
                <w:sz w:val="20"/>
                <w:szCs w:val="20"/>
              </w:rPr>
              <w:t xml:space="preserve">disposal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of the empty packages.</w:t>
            </w:r>
          </w:p>
        </w:tc>
        <w:tc>
          <w:tcPr>
            <w:tcW w:w="2620" w:type="dxa"/>
          </w:tcPr>
          <w:p w14:paraId="51603D9F" w14:textId="77777777" w:rsidR="00673177" w:rsidRPr="00A2001B" w:rsidRDefault="007104E3" w:rsidP="00A20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Arts. 14 and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15 </w:t>
            </w:r>
            <w:r w:rsidR="0020024D" w:rsidRPr="00A2001B">
              <w:rPr>
                <w:rFonts w:ascii="Times New Roman" w:hAnsi="Times New Roman"/>
                <w:sz w:val="20"/>
                <w:szCs w:val="20"/>
              </w:rPr>
              <w:t>of Law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7.802/1989</w:t>
            </w:r>
          </w:p>
        </w:tc>
      </w:tr>
    </w:tbl>
    <w:p w14:paraId="5C36B534" w14:textId="2903E275" w:rsidR="00673177" w:rsidRPr="00A2001B" w:rsidRDefault="005156D7" w:rsidP="00A20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2001B">
        <w:rPr>
          <w:rFonts w:ascii="Times New Roman" w:hAnsi="Times New Roman"/>
          <w:b/>
          <w:sz w:val="20"/>
          <w:szCs w:val="20"/>
        </w:rPr>
        <w:t xml:space="preserve">Source: </w:t>
      </w:r>
      <w:r w:rsidR="00012F05" w:rsidRPr="00A2001B">
        <w:rPr>
          <w:rFonts w:ascii="Times New Roman" w:hAnsi="Times New Roman"/>
          <w:b/>
          <w:sz w:val="20"/>
          <w:szCs w:val="20"/>
        </w:rPr>
        <w:t>T</w:t>
      </w:r>
      <w:r w:rsidRPr="00A2001B">
        <w:rPr>
          <w:rFonts w:ascii="Times New Roman" w:hAnsi="Times New Roman"/>
          <w:b/>
          <w:sz w:val="20"/>
          <w:szCs w:val="20"/>
        </w:rPr>
        <w:t>he authors, based on the legislation</w:t>
      </w:r>
    </w:p>
    <w:p w14:paraId="39D27CCF" w14:textId="77777777" w:rsidR="00784906" w:rsidRPr="00A2001B" w:rsidRDefault="00784906" w:rsidP="00A2001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3DACD8" w14:textId="77777777" w:rsidR="00CF7633" w:rsidRPr="00A2001B" w:rsidRDefault="00CF7633" w:rsidP="00A2001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71CDC52" w14:textId="77777777" w:rsidR="00CF7633" w:rsidRPr="00A2001B" w:rsidRDefault="00CF7633" w:rsidP="00A2001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2B431A2" w14:textId="77777777" w:rsidR="00A235B7" w:rsidRPr="00A2001B" w:rsidRDefault="00A235B7" w:rsidP="00A200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5E0D1F8" w14:textId="77777777" w:rsidR="00673177" w:rsidRPr="00A2001B" w:rsidRDefault="00112FAD" w:rsidP="00A2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1" w:name="_Hlk505177881"/>
      <w:r w:rsidRPr="00A2001B">
        <w:rPr>
          <w:rFonts w:ascii="Times New Roman" w:hAnsi="Times New Roman"/>
          <w:b/>
          <w:sz w:val="20"/>
          <w:szCs w:val="20"/>
        </w:rPr>
        <w:t xml:space="preserve">Table </w:t>
      </w:r>
      <w:r w:rsidR="00673177" w:rsidRPr="00A2001B">
        <w:rPr>
          <w:rFonts w:ascii="Times New Roman" w:hAnsi="Times New Roman"/>
          <w:b/>
          <w:sz w:val="20"/>
          <w:szCs w:val="20"/>
        </w:rPr>
        <w:t>2a: Situa</w:t>
      </w:r>
      <w:r w:rsidRPr="00A2001B">
        <w:rPr>
          <w:rFonts w:ascii="Times New Roman" w:hAnsi="Times New Roman"/>
          <w:b/>
          <w:sz w:val="20"/>
          <w:szCs w:val="20"/>
        </w:rPr>
        <w:t>tions of Cross-tab with Chi-Square</w:t>
      </w:r>
      <w:r w:rsidR="00F735A6" w:rsidRPr="00A2001B">
        <w:rPr>
          <w:rFonts w:ascii="Times New Roman" w:hAnsi="Times New Roman"/>
          <w:b/>
          <w:sz w:val="20"/>
          <w:szCs w:val="20"/>
        </w:rPr>
        <w:t xml:space="preserve"> &lt; 0.</w:t>
      </w:r>
      <w:r w:rsidR="00673177" w:rsidRPr="00A2001B">
        <w:rPr>
          <w:rFonts w:ascii="Times New Roman" w:hAnsi="Times New Roman"/>
          <w:b/>
          <w:sz w:val="20"/>
          <w:szCs w:val="20"/>
        </w:rPr>
        <w:t>05</w:t>
      </w:r>
    </w:p>
    <w:tbl>
      <w:tblPr>
        <w:tblStyle w:val="TableGrid"/>
        <w:tblW w:w="4884" w:type="pct"/>
        <w:tblLook w:val="01E0" w:firstRow="1" w:lastRow="1" w:firstColumn="1" w:lastColumn="1" w:noHBand="0" w:noVBand="0"/>
      </w:tblPr>
      <w:tblGrid>
        <w:gridCol w:w="1971"/>
        <w:gridCol w:w="2112"/>
        <w:gridCol w:w="1161"/>
        <w:gridCol w:w="3828"/>
      </w:tblGrid>
      <w:tr w:rsidR="00673177" w:rsidRPr="00A2001B" w14:paraId="18A74A7D" w14:textId="77777777" w:rsidTr="002A060D">
        <w:tc>
          <w:tcPr>
            <w:tcW w:w="1086" w:type="pct"/>
          </w:tcPr>
          <w:p w14:paraId="5CE3E0D2" w14:textId="77777777" w:rsidR="00673177" w:rsidRPr="00A2001B" w:rsidRDefault="00AB51D9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Evaluated Question</w:t>
            </w:r>
          </w:p>
        </w:tc>
        <w:tc>
          <w:tcPr>
            <w:tcW w:w="1164" w:type="pct"/>
          </w:tcPr>
          <w:p w14:paraId="2D34CE4D" w14:textId="77777777" w:rsidR="00673177" w:rsidRPr="00A2001B" w:rsidRDefault="00AB51D9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Crossover</w:t>
            </w:r>
          </w:p>
        </w:tc>
        <w:tc>
          <w:tcPr>
            <w:tcW w:w="640" w:type="pct"/>
          </w:tcPr>
          <w:p w14:paraId="5DDB3D08" w14:textId="77777777" w:rsidR="00673177" w:rsidRPr="00A2001B" w:rsidRDefault="00AB51D9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2110" w:type="pct"/>
          </w:tcPr>
          <w:p w14:paraId="3EC14CAC" w14:textId="77777777" w:rsidR="00673177" w:rsidRPr="00A2001B" w:rsidRDefault="00AB51D9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Analysis</w:t>
            </w:r>
          </w:p>
        </w:tc>
      </w:tr>
      <w:tr w:rsidR="00673177" w:rsidRPr="00A2001B" w14:paraId="0765272A" w14:textId="77777777" w:rsidTr="002A060D">
        <w:tc>
          <w:tcPr>
            <w:tcW w:w="1086" w:type="pct"/>
          </w:tcPr>
          <w:p w14:paraId="64E15561" w14:textId="671F0018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P-1 – </w:t>
            </w:r>
            <w:r w:rsidR="002347CB" w:rsidRPr="00A2001B">
              <w:rPr>
                <w:rFonts w:ascii="Times New Roman" w:hAnsi="Times New Roman"/>
                <w:sz w:val="20"/>
                <w:szCs w:val="20"/>
              </w:rPr>
              <w:t xml:space="preserve">I am always informed there is a requirement </w:t>
            </w:r>
            <w:r w:rsidR="009E3CD6" w:rsidRPr="00A2001B">
              <w:rPr>
                <w:rFonts w:ascii="Times New Roman" w:hAnsi="Times New Roman"/>
                <w:sz w:val="20"/>
                <w:szCs w:val="20"/>
              </w:rPr>
              <w:t>t</w:t>
            </w:r>
            <w:r w:rsidR="002347CB" w:rsidRPr="00A2001B">
              <w:rPr>
                <w:rFonts w:ascii="Times New Roman" w:hAnsi="Times New Roman"/>
                <w:sz w:val="20"/>
                <w:szCs w:val="20"/>
              </w:rPr>
              <w:t>o return the empty packages of agricultural pesticides</w:t>
            </w:r>
            <w:r w:rsidR="009E3CD6"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4" w:type="pct"/>
          </w:tcPr>
          <w:p w14:paraId="33955E61" w14:textId="3C2DA04F" w:rsidR="00673177" w:rsidRPr="00A2001B" w:rsidRDefault="00627AAB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packages.</w:t>
            </w:r>
          </w:p>
        </w:tc>
        <w:tc>
          <w:tcPr>
            <w:tcW w:w="640" w:type="pct"/>
          </w:tcPr>
          <w:p w14:paraId="0452778C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006</w:t>
            </w:r>
          </w:p>
        </w:tc>
        <w:tc>
          <w:tcPr>
            <w:tcW w:w="2110" w:type="pct"/>
          </w:tcPr>
          <w:p w14:paraId="6AC0F433" w14:textId="25FA0F6B" w:rsidR="00673177" w:rsidRPr="00A2001B" w:rsidRDefault="00627AAB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There is consistency in the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es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because for the 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16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who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fully agreed</w:t>
            </w:r>
            <w:r w:rsidR="001E55C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having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known about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requirement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o return empty packages, at least 11 sa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that 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they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return them and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13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disagree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, six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that 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>they do not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return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them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and seven vary in the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return tim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, showing uncertainty in return.</w:t>
            </w:r>
          </w:p>
        </w:tc>
      </w:tr>
      <w:tr w:rsidR="00673177" w:rsidRPr="00A2001B" w14:paraId="4EAE880A" w14:textId="77777777" w:rsidTr="002A060D">
        <w:tc>
          <w:tcPr>
            <w:tcW w:w="1086" w:type="pct"/>
          </w:tcPr>
          <w:p w14:paraId="4E9C398B" w14:textId="19676D31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P-4 – </w:t>
            </w:r>
            <w:r w:rsidR="00F23BBA" w:rsidRPr="00A200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C5551" w:rsidRPr="00A2001B">
              <w:rPr>
                <w:rFonts w:ascii="Times New Roman" w:hAnsi="Times New Roman"/>
                <w:sz w:val="20"/>
                <w:szCs w:val="20"/>
              </w:rPr>
              <w:t>have been</w:t>
            </w:r>
            <w:r w:rsidR="00F23BBA" w:rsidRPr="00A2001B">
              <w:rPr>
                <w:rFonts w:ascii="Times New Roman" w:hAnsi="Times New Roman"/>
                <w:sz w:val="20"/>
                <w:szCs w:val="20"/>
              </w:rPr>
              <w:t xml:space="preserve"> informed about the need </w:t>
            </w:r>
            <w:r w:rsidR="009E3CD6" w:rsidRPr="00A2001B">
              <w:rPr>
                <w:rFonts w:ascii="Times New Roman" w:hAnsi="Times New Roman"/>
                <w:sz w:val="20"/>
                <w:szCs w:val="20"/>
              </w:rPr>
              <w:t>t</w:t>
            </w:r>
            <w:r w:rsidR="00F23BBA" w:rsidRPr="00A2001B">
              <w:rPr>
                <w:rFonts w:ascii="Times New Roman" w:hAnsi="Times New Roman"/>
                <w:sz w:val="20"/>
                <w:szCs w:val="20"/>
              </w:rPr>
              <w:t>o prepar</w:t>
            </w:r>
            <w:r w:rsidR="009E3CD6" w:rsidRPr="00A2001B">
              <w:rPr>
                <w:rFonts w:ascii="Times New Roman" w:hAnsi="Times New Roman"/>
                <w:sz w:val="20"/>
                <w:szCs w:val="20"/>
              </w:rPr>
              <w:t>e</w:t>
            </w:r>
            <w:r w:rsidR="00F23BBA" w:rsidRPr="00A2001B">
              <w:rPr>
                <w:rFonts w:ascii="Times New Roman" w:hAnsi="Times New Roman"/>
                <w:sz w:val="20"/>
                <w:szCs w:val="20"/>
              </w:rPr>
              <w:t xml:space="preserve"> the packages for correct disposal.</w:t>
            </w:r>
          </w:p>
        </w:tc>
        <w:tc>
          <w:tcPr>
            <w:tcW w:w="1164" w:type="pct"/>
          </w:tcPr>
          <w:p w14:paraId="5A5867AE" w14:textId="0AC633F2" w:rsidR="00673177" w:rsidRPr="00A2001B" w:rsidRDefault="00F23BBA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9E3CD6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0C8E646B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003</w:t>
            </w:r>
          </w:p>
        </w:tc>
        <w:tc>
          <w:tcPr>
            <w:tcW w:w="2110" w:type="pct"/>
          </w:tcPr>
          <w:p w14:paraId="4DAF070E" w14:textId="70E4445B" w:rsidR="00673177" w:rsidRPr="00A2001B" w:rsidRDefault="00F23BBA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There is 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also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some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consistency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here 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>because for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B6D60" w:rsidRPr="00A2001B">
              <w:rPr>
                <w:rFonts w:ascii="Times New Roman" w:hAnsi="Times New Roman"/>
                <w:bCs/>
                <w:sz w:val="20"/>
                <w:szCs w:val="20"/>
              </w:rPr>
              <w:t>the 35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agree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and/or fully agree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1E55C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having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information about the need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o prepar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packages for correct disposal,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22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return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them 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ven if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their timing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in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doing so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vari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es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those who disagree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we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>re indifferent, the majority sa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do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not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return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packages</w:t>
            </w:r>
            <w:r w:rsidR="007C580F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673177" w:rsidRPr="00A2001B" w14:paraId="4B63DDC9" w14:textId="77777777" w:rsidTr="002A060D">
        <w:tc>
          <w:tcPr>
            <w:tcW w:w="1086" w:type="pct"/>
          </w:tcPr>
          <w:p w14:paraId="18A5CD50" w14:textId="2B226D92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P-6 – </w:t>
            </w:r>
            <w:r w:rsidR="00620106" w:rsidRPr="00A2001B">
              <w:rPr>
                <w:rFonts w:ascii="Times New Roman" w:hAnsi="Times New Roman"/>
                <w:sz w:val="20"/>
                <w:szCs w:val="20"/>
              </w:rPr>
              <w:t>During</w:t>
            </w:r>
            <w:r w:rsidR="005D4A8E" w:rsidRPr="00A2001B">
              <w:rPr>
                <w:rFonts w:ascii="Times New Roman" w:hAnsi="Times New Roman"/>
                <w:sz w:val="20"/>
                <w:szCs w:val="20"/>
              </w:rPr>
              <w:t xml:space="preserve"> purchase, the retailer gives instructions </w:t>
            </w:r>
            <w:r w:rsidR="00620106" w:rsidRPr="00A2001B">
              <w:rPr>
                <w:rFonts w:ascii="Times New Roman" w:hAnsi="Times New Roman"/>
                <w:sz w:val="20"/>
                <w:szCs w:val="20"/>
              </w:rPr>
              <w:t>f</w:t>
            </w:r>
            <w:r w:rsidR="005D4A8E"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="00620106" w:rsidRPr="00A2001B">
              <w:rPr>
                <w:rFonts w:ascii="Times New Roman" w:hAnsi="Times New Roman"/>
                <w:sz w:val="20"/>
                <w:szCs w:val="20"/>
              </w:rPr>
              <w:t>r</w:t>
            </w:r>
            <w:r w:rsidR="005D4A8E" w:rsidRPr="00A2001B">
              <w:rPr>
                <w:rFonts w:ascii="Times New Roman" w:hAnsi="Times New Roman"/>
                <w:sz w:val="20"/>
                <w:szCs w:val="20"/>
              </w:rPr>
              <w:t xml:space="preserve"> washing procedures, packaging, </w:t>
            </w:r>
            <w:r w:rsidR="009C5551" w:rsidRPr="00A2001B">
              <w:rPr>
                <w:rFonts w:ascii="Times New Roman" w:hAnsi="Times New Roman"/>
                <w:sz w:val="20"/>
                <w:szCs w:val="20"/>
              </w:rPr>
              <w:t>storage</w:t>
            </w:r>
            <w:r w:rsidR="005D4A8E" w:rsidRPr="00A2001B">
              <w:rPr>
                <w:rFonts w:ascii="Times New Roman" w:hAnsi="Times New Roman"/>
                <w:sz w:val="20"/>
                <w:szCs w:val="20"/>
              </w:rPr>
              <w:t>, transportation and return of the packages.</w:t>
            </w:r>
          </w:p>
        </w:tc>
        <w:tc>
          <w:tcPr>
            <w:tcW w:w="1164" w:type="pct"/>
          </w:tcPr>
          <w:p w14:paraId="2BC23C32" w14:textId="36CC743C" w:rsidR="00673177" w:rsidRPr="00A2001B" w:rsidRDefault="005D4A8E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9E3CD6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558C249A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018</w:t>
            </w:r>
          </w:p>
        </w:tc>
        <w:tc>
          <w:tcPr>
            <w:tcW w:w="2110" w:type="pct"/>
          </w:tcPr>
          <w:p w14:paraId="7C650AFF" w14:textId="00C5BE5A" w:rsidR="00673177" w:rsidRPr="00A2001B" w:rsidRDefault="005D4A8E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There is consistency in the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es as 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those who agree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agree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receiving instructions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f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washing procedures, packaging,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storage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, transportation and return of the packages, nine sa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return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them,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and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30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disagree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disagree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9C2DE1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18 sa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do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not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return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them</w:t>
            </w:r>
            <w:r w:rsidR="00BF1060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and seven sa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return tim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varies.</w:t>
            </w:r>
          </w:p>
        </w:tc>
      </w:tr>
      <w:tr w:rsidR="00673177" w:rsidRPr="00A2001B" w14:paraId="2629AF3E" w14:textId="77777777" w:rsidTr="002A060D">
        <w:tc>
          <w:tcPr>
            <w:tcW w:w="1086" w:type="pct"/>
          </w:tcPr>
          <w:p w14:paraId="51403951" w14:textId="448E3EA6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P-8 </w:t>
            </w:r>
            <w:r w:rsidR="002D2368" w:rsidRPr="00A2001B">
              <w:rPr>
                <w:rFonts w:ascii="Times New Roman" w:hAnsi="Times New Roman"/>
                <w:bCs/>
                <w:sz w:val="20"/>
                <w:szCs w:val="20"/>
              </w:rPr>
              <w:t>– I</w:t>
            </w:r>
            <w:r w:rsidR="00775E92" w:rsidRPr="00A2001B">
              <w:rPr>
                <w:rFonts w:ascii="Times New Roman" w:hAnsi="Times New Roman"/>
                <w:sz w:val="20"/>
                <w:szCs w:val="20"/>
              </w:rPr>
              <w:t xml:space="preserve"> always return packages to the address indicated </w:t>
            </w:r>
            <w:r w:rsidR="00620106" w:rsidRPr="00A2001B">
              <w:rPr>
                <w:rFonts w:ascii="Times New Roman" w:hAnsi="Times New Roman"/>
                <w:sz w:val="20"/>
                <w:szCs w:val="20"/>
              </w:rPr>
              <w:t>o</w:t>
            </w:r>
            <w:r w:rsidR="00775E92" w:rsidRPr="00A2001B">
              <w:rPr>
                <w:rFonts w:ascii="Times New Roman" w:hAnsi="Times New Roman"/>
                <w:sz w:val="20"/>
                <w:szCs w:val="20"/>
              </w:rPr>
              <w:t xml:space="preserve">n the purchase </w:t>
            </w:r>
            <w:r w:rsidR="00BF1060" w:rsidRPr="00A2001B">
              <w:rPr>
                <w:rFonts w:ascii="Times New Roman" w:hAnsi="Times New Roman"/>
                <w:sz w:val="20"/>
                <w:szCs w:val="20"/>
              </w:rPr>
              <w:t>i</w:t>
            </w:r>
            <w:r w:rsidR="00775E92" w:rsidRPr="00A2001B">
              <w:rPr>
                <w:rFonts w:ascii="Times New Roman" w:hAnsi="Times New Roman"/>
                <w:sz w:val="20"/>
                <w:szCs w:val="20"/>
              </w:rPr>
              <w:t>nvoice.</w:t>
            </w:r>
          </w:p>
        </w:tc>
        <w:tc>
          <w:tcPr>
            <w:tcW w:w="1164" w:type="pct"/>
          </w:tcPr>
          <w:p w14:paraId="27E3B557" w14:textId="29A9CAB2" w:rsidR="00673177" w:rsidRPr="00A2001B" w:rsidRDefault="00775E92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9E3CD6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65B08712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006</w:t>
            </w:r>
          </w:p>
        </w:tc>
        <w:tc>
          <w:tcPr>
            <w:tcW w:w="2110" w:type="pct"/>
          </w:tcPr>
          <w:p w14:paraId="403AADC8" w14:textId="34D803BB" w:rsidR="00673177" w:rsidRPr="00A2001B" w:rsidRDefault="00775E92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The nine who agree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agree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when asked </w:t>
            </w:r>
            <w:r w:rsidR="001E55C1" w:rsidRPr="00A2001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lways return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packages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to the 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indicated </w:t>
            </w:r>
            <w:r w:rsidR="009C2DE1" w:rsidRPr="00A2001B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n the purchase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nvoice, all sa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return 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packages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even </w:t>
            </w:r>
            <w:r w:rsidR="001E55C1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if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tim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varies, and 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of the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26 who disagree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disagree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, 20 strongly s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9C5551" w:rsidRPr="00A2001B">
              <w:rPr>
                <w:rFonts w:ascii="Times New Roman" w:hAnsi="Times New Roman"/>
                <w:bCs/>
                <w:sz w:val="20"/>
                <w:szCs w:val="20"/>
              </w:rPr>
              <w:t>te</w:t>
            </w:r>
            <w:r w:rsidR="00DF3510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do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not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return them.</w:t>
            </w:r>
          </w:p>
        </w:tc>
      </w:tr>
    </w:tbl>
    <w:p w14:paraId="2834B258" w14:textId="3F0B9A4F" w:rsidR="00673177" w:rsidRPr="00A2001B" w:rsidRDefault="003B2DD2" w:rsidP="00A20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2001B">
        <w:rPr>
          <w:rFonts w:ascii="Times New Roman" w:hAnsi="Times New Roman"/>
          <w:b/>
          <w:sz w:val="20"/>
          <w:szCs w:val="20"/>
        </w:rPr>
        <w:t>Source: Resea</w:t>
      </w:r>
      <w:r w:rsidR="001D2F35" w:rsidRPr="00A2001B">
        <w:rPr>
          <w:rFonts w:ascii="Times New Roman" w:hAnsi="Times New Roman"/>
          <w:b/>
          <w:sz w:val="20"/>
          <w:szCs w:val="20"/>
        </w:rPr>
        <w:t>r</w:t>
      </w:r>
      <w:r w:rsidRPr="00A2001B">
        <w:rPr>
          <w:rFonts w:ascii="Times New Roman" w:hAnsi="Times New Roman"/>
          <w:b/>
          <w:sz w:val="20"/>
          <w:szCs w:val="20"/>
        </w:rPr>
        <w:t xml:space="preserve">ch </w:t>
      </w:r>
      <w:r w:rsidR="00AA5476" w:rsidRPr="00A2001B">
        <w:rPr>
          <w:rFonts w:ascii="Times New Roman" w:hAnsi="Times New Roman"/>
          <w:b/>
          <w:sz w:val="20"/>
          <w:szCs w:val="20"/>
        </w:rPr>
        <w:t>d</w:t>
      </w:r>
      <w:r w:rsidRPr="00A2001B">
        <w:rPr>
          <w:rFonts w:ascii="Times New Roman" w:hAnsi="Times New Roman"/>
          <w:b/>
          <w:sz w:val="20"/>
          <w:szCs w:val="20"/>
        </w:rPr>
        <w:t>ata</w:t>
      </w:r>
      <w:bookmarkEnd w:id="1"/>
    </w:p>
    <w:p w14:paraId="08AAA520" w14:textId="77777777" w:rsidR="00673177" w:rsidRPr="00A2001B" w:rsidRDefault="00673177" w:rsidP="00A20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8D7739" w14:textId="77777777" w:rsidR="00673177" w:rsidRPr="00A2001B" w:rsidRDefault="003B2DD2" w:rsidP="00A20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Hlk505178224"/>
      <w:r w:rsidRPr="00A2001B">
        <w:rPr>
          <w:rFonts w:ascii="Times New Roman" w:hAnsi="Times New Roman"/>
          <w:b/>
          <w:sz w:val="20"/>
          <w:szCs w:val="20"/>
        </w:rPr>
        <w:t>Table</w:t>
      </w:r>
      <w:r w:rsidR="00673177" w:rsidRPr="00A2001B">
        <w:rPr>
          <w:rFonts w:ascii="Times New Roman" w:hAnsi="Times New Roman"/>
          <w:b/>
          <w:sz w:val="20"/>
          <w:szCs w:val="20"/>
        </w:rPr>
        <w:t xml:space="preserve"> 2b: Situa</w:t>
      </w:r>
      <w:r w:rsidRPr="00A2001B">
        <w:rPr>
          <w:rFonts w:ascii="Times New Roman" w:hAnsi="Times New Roman"/>
          <w:b/>
          <w:sz w:val="20"/>
          <w:szCs w:val="20"/>
        </w:rPr>
        <w:t>tions of Cross-tab with Chi-Square</w:t>
      </w:r>
      <w:r w:rsidR="00673177" w:rsidRPr="00A2001B">
        <w:rPr>
          <w:rFonts w:ascii="Times New Roman" w:hAnsi="Times New Roman"/>
          <w:b/>
          <w:sz w:val="20"/>
          <w:szCs w:val="20"/>
        </w:rPr>
        <w:t xml:space="preserve"> &lt; 0</w:t>
      </w:r>
      <w:r w:rsidR="00F735A6" w:rsidRPr="00A2001B">
        <w:rPr>
          <w:rFonts w:ascii="Times New Roman" w:hAnsi="Times New Roman"/>
          <w:b/>
          <w:sz w:val="20"/>
          <w:szCs w:val="20"/>
        </w:rPr>
        <w:t>.</w:t>
      </w:r>
      <w:r w:rsidR="00673177" w:rsidRPr="00A2001B">
        <w:rPr>
          <w:rFonts w:ascii="Times New Roman" w:hAnsi="Times New Roman"/>
          <w:b/>
          <w:sz w:val="20"/>
          <w:szCs w:val="20"/>
        </w:rPr>
        <w:t>05</w:t>
      </w:r>
    </w:p>
    <w:tbl>
      <w:tblPr>
        <w:tblStyle w:val="TableGrid"/>
        <w:tblW w:w="4884" w:type="pct"/>
        <w:tblLook w:val="01E0" w:firstRow="1" w:lastRow="1" w:firstColumn="1" w:lastColumn="1" w:noHBand="0" w:noVBand="0"/>
      </w:tblPr>
      <w:tblGrid>
        <w:gridCol w:w="1971"/>
        <w:gridCol w:w="2112"/>
        <w:gridCol w:w="1161"/>
        <w:gridCol w:w="3828"/>
      </w:tblGrid>
      <w:tr w:rsidR="00673177" w:rsidRPr="00A2001B" w14:paraId="593EA930" w14:textId="77777777" w:rsidTr="002A060D">
        <w:tc>
          <w:tcPr>
            <w:tcW w:w="1086" w:type="pct"/>
          </w:tcPr>
          <w:p w14:paraId="6F237AD4" w14:textId="77777777" w:rsidR="00673177" w:rsidRPr="00A2001B" w:rsidRDefault="000B50BE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Evaluated Question</w:t>
            </w:r>
          </w:p>
        </w:tc>
        <w:tc>
          <w:tcPr>
            <w:tcW w:w="1164" w:type="pct"/>
          </w:tcPr>
          <w:p w14:paraId="3F2C0EE7" w14:textId="77777777" w:rsidR="00673177" w:rsidRPr="00A2001B" w:rsidRDefault="000B50BE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Crossover</w:t>
            </w:r>
          </w:p>
        </w:tc>
        <w:tc>
          <w:tcPr>
            <w:tcW w:w="640" w:type="pct"/>
          </w:tcPr>
          <w:p w14:paraId="18447F60" w14:textId="77777777" w:rsidR="00673177" w:rsidRPr="00A2001B" w:rsidRDefault="000B50BE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2110" w:type="pct"/>
          </w:tcPr>
          <w:p w14:paraId="16D735FB" w14:textId="77777777" w:rsidR="00673177" w:rsidRPr="00A2001B" w:rsidRDefault="000B50BE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Analysis</w:t>
            </w:r>
          </w:p>
        </w:tc>
      </w:tr>
      <w:tr w:rsidR="00673177" w:rsidRPr="00A2001B" w14:paraId="268CFB29" w14:textId="77777777" w:rsidTr="002A060D">
        <w:tc>
          <w:tcPr>
            <w:tcW w:w="1086" w:type="pct"/>
          </w:tcPr>
          <w:p w14:paraId="53ED6975" w14:textId="5FF48320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P-10 – </w:t>
            </w:r>
            <w:r w:rsidR="00997178" w:rsidRPr="00A200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a</w:t>
            </w:r>
            <w:r w:rsidR="00997178" w:rsidRPr="00A2001B">
              <w:rPr>
                <w:rFonts w:ascii="Times New Roman" w:hAnsi="Times New Roman"/>
                <w:sz w:val="20"/>
                <w:szCs w:val="20"/>
              </w:rPr>
              <w:t>lways pay the</w:t>
            </w:r>
            <w:r w:rsidR="009C5551" w:rsidRPr="00A2001B">
              <w:rPr>
                <w:rFonts w:ascii="Times New Roman" w:hAnsi="Times New Roman"/>
                <w:sz w:val="20"/>
                <w:szCs w:val="20"/>
              </w:rPr>
              <w:t xml:space="preserve"> costs to transport </w:t>
            </w:r>
            <w:r w:rsidR="00997178" w:rsidRPr="00A2001B">
              <w:rPr>
                <w:rFonts w:ascii="Times New Roman" w:hAnsi="Times New Roman"/>
                <w:sz w:val="20"/>
                <w:szCs w:val="20"/>
              </w:rPr>
              <w:t>package</w:t>
            </w:r>
            <w:r w:rsidR="009C5551" w:rsidRPr="00A2001B">
              <w:rPr>
                <w:rFonts w:ascii="Times New Roman" w:hAnsi="Times New Roman"/>
                <w:sz w:val="20"/>
                <w:szCs w:val="20"/>
              </w:rPr>
              <w:t>s</w:t>
            </w:r>
            <w:r w:rsidR="00997178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to</w:t>
            </w:r>
            <w:r w:rsidR="00997178" w:rsidRPr="00A2001B">
              <w:rPr>
                <w:rFonts w:ascii="Times New Roman" w:hAnsi="Times New Roman"/>
                <w:sz w:val="20"/>
                <w:szCs w:val="20"/>
              </w:rPr>
              <w:t xml:space="preserve"> the collector station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4" w:type="pct"/>
          </w:tcPr>
          <w:p w14:paraId="55F3913C" w14:textId="2949E0CC" w:rsidR="00673177" w:rsidRPr="00A2001B" w:rsidRDefault="00997178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9E3CD6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7C177B91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10" w:type="pct"/>
          </w:tcPr>
          <w:p w14:paraId="2BEC6289" w14:textId="2AC42822" w:rsidR="00673177" w:rsidRPr="00A2001B" w:rsidRDefault="00445B4D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There is a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>ccentuated consistency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in the responses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, as 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of the 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>seven who agree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agree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paying the </w:t>
            </w:r>
            <w:r w:rsidR="00A007D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costs to 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transport packages </w:t>
            </w:r>
            <w:r w:rsidR="00A007D2" w:rsidRPr="00A2001B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Collector Station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>all sa</w:t>
            </w:r>
            <w:r w:rsidR="00A007D2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return them; and 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of the 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>34 who disagree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disagree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>, 16 sa</w:t>
            </w:r>
            <w:r w:rsidR="00A007D2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do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not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return 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>packages</w:t>
            </w:r>
            <w:r w:rsidR="00BF1060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33EE9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>and 11 sa</w:t>
            </w:r>
            <w:r w:rsidR="00A007D2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</w:t>
            </w:r>
            <w:r w:rsidR="00A007D2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return tim</w:t>
            </w:r>
            <w:r w:rsidR="00A007D2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="006D20B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varies.</w:t>
            </w:r>
          </w:p>
        </w:tc>
      </w:tr>
      <w:tr w:rsidR="00673177" w:rsidRPr="00A2001B" w14:paraId="0449E2FE" w14:textId="77777777" w:rsidTr="002A060D">
        <w:tc>
          <w:tcPr>
            <w:tcW w:w="1086" w:type="pct"/>
          </w:tcPr>
          <w:p w14:paraId="098C2220" w14:textId="6B76CBC5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P-10 – </w:t>
            </w:r>
            <w:r w:rsidR="00512FFD" w:rsidRPr="00A200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a</w:t>
            </w:r>
            <w:r w:rsidR="00512FFD" w:rsidRPr="00A2001B">
              <w:rPr>
                <w:rFonts w:ascii="Times New Roman" w:hAnsi="Times New Roman"/>
                <w:sz w:val="20"/>
                <w:szCs w:val="20"/>
              </w:rPr>
              <w:t xml:space="preserve">lways pay the </w:t>
            </w:r>
            <w:r w:rsidR="00733EE9" w:rsidRPr="00A2001B">
              <w:rPr>
                <w:rFonts w:ascii="Times New Roman" w:hAnsi="Times New Roman"/>
                <w:sz w:val="20"/>
                <w:szCs w:val="20"/>
              </w:rPr>
              <w:t xml:space="preserve">costs to transport </w:t>
            </w:r>
            <w:r w:rsidR="00512FFD" w:rsidRPr="00A2001B">
              <w:rPr>
                <w:rFonts w:ascii="Times New Roman" w:hAnsi="Times New Roman"/>
                <w:sz w:val="20"/>
                <w:szCs w:val="20"/>
              </w:rPr>
              <w:t xml:space="preserve">packages 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to</w:t>
            </w:r>
            <w:r w:rsidR="00512FFD" w:rsidRPr="00A2001B">
              <w:rPr>
                <w:rFonts w:ascii="Times New Roman" w:hAnsi="Times New Roman"/>
                <w:sz w:val="20"/>
                <w:szCs w:val="20"/>
              </w:rPr>
              <w:t xml:space="preserve"> the collector station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.</w:t>
            </w:r>
            <w:r w:rsidR="00512FFD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4" w:type="pct"/>
          </w:tcPr>
          <w:p w14:paraId="6005CB03" w14:textId="6AA08622" w:rsidR="00673177" w:rsidRPr="00A2001B" w:rsidRDefault="00EE57AF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Cultivation group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594A246E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018</w:t>
            </w:r>
          </w:p>
        </w:tc>
        <w:tc>
          <w:tcPr>
            <w:tcW w:w="2110" w:type="pct"/>
          </w:tcPr>
          <w:p w14:paraId="0C6470D9" w14:textId="7FD52DA3" w:rsidR="00673177" w:rsidRPr="00A2001B" w:rsidRDefault="00EE57AF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There is a balance in the </w:t>
            </w:r>
            <w:proofErr w:type="gramStart"/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producers</w:t>
            </w:r>
            <w:proofErr w:type="gramEnd"/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distribution among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types of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cultivation,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18, 16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14</w:t>
            </w:r>
            <w:r w:rsidR="009C2DE1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respectiv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ely</w:t>
            </w:r>
            <w:r w:rsidR="009C2DE1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in temporary culture, horticulture and permanent culture. A</w:t>
            </w:r>
            <w:r w:rsidR="009C2DE1" w:rsidRPr="00A2001B">
              <w:rPr>
                <w:rFonts w:ascii="Times New Roman" w:hAnsi="Times New Roman"/>
                <w:bCs/>
                <w:sz w:val="20"/>
                <w:szCs w:val="20"/>
              </w:rPr>
              <w:t>dditionally,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of the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30 who fully disagree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paying the costs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to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transport packages 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to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 Collector 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>Station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8, 12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10</w:t>
            </w:r>
            <w:r w:rsidR="009C2DE1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respectiv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ely</w:t>
            </w:r>
            <w:r w:rsidR="009C2DE1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are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in temporary culture, horticulture and permanent culture.</w:t>
            </w:r>
          </w:p>
        </w:tc>
      </w:tr>
      <w:tr w:rsidR="00673177" w:rsidRPr="00A2001B" w14:paraId="7CB77BC8" w14:textId="77777777" w:rsidTr="002A060D">
        <w:tc>
          <w:tcPr>
            <w:tcW w:w="1086" w:type="pct"/>
          </w:tcPr>
          <w:p w14:paraId="2195D98E" w14:textId="230434BB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P-10 –</w:t>
            </w:r>
            <w:r w:rsidR="00556607" w:rsidRPr="00A2001B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a</w:t>
            </w:r>
            <w:r w:rsidR="00556607" w:rsidRPr="00A2001B">
              <w:rPr>
                <w:rFonts w:ascii="Times New Roman" w:hAnsi="Times New Roman"/>
                <w:sz w:val="20"/>
                <w:szCs w:val="20"/>
              </w:rPr>
              <w:t xml:space="preserve">lways pay the </w:t>
            </w:r>
            <w:r w:rsidR="00B003BB" w:rsidRPr="00A2001B">
              <w:rPr>
                <w:rFonts w:ascii="Times New Roman" w:hAnsi="Times New Roman"/>
                <w:sz w:val="20"/>
                <w:szCs w:val="20"/>
              </w:rPr>
              <w:t xml:space="preserve">costs </w:t>
            </w:r>
            <w:proofErr w:type="gramStart"/>
            <w:r w:rsidR="00B003BB" w:rsidRPr="00A2001B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="00556607" w:rsidRPr="00A2001B">
              <w:rPr>
                <w:rFonts w:ascii="Times New Roman" w:hAnsi="Times New Roman"/>
                <w:sz w:val="20"/>
                <w:szCs w:val="20"/>
              </w:rPr>
              <w:t xml:space="preserve"> transport</w:t>
            </w:r>
            <w:proofErr w:type="gramEnd"/>
            <w:r w:rsidR="00556607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03BB" w:rsidRPr="00A2001B">
              <w:rPr>
                <w:rFonts w:ascii="Times New Roman" w:hAnsi="Times New Roman"/>
                <w:sz w:val="20"/>
                <w:szCs w:val="20"/>
              </w:rPr>
              <w:t>package</w:t>
            </w:r>
            <w:r w:rsidR="00556607" w:rsidRPr="00A2001B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to</w:t>
            </w:r>
            <w:r w:rsidR="00556607" w:rsidRPr="00A2001B">
              <w:rPr>
                <w:rFonts w:ascii="Times New Roman" w:hAnsi="Times New Roman"/>
                <w:sz w:val="20"/>
                <w:szCs w:val="20"/>
              </w:rPr>
              <w:t xml:space="preserve"> the collector station</w:t>
            </w:r>
            <w:r w:rsidR="00EA6121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64" w:type="pct"/>
          </w:tcPr>
          <w:p w14:paraId="0CC7E7AB" w14:textId="4EE963A5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Segmenta</w:t>
            </w:r>
            <w:r w:rsidR="00556607" w:rsidRPr="00A2001B">
              <w:rPr>
                <w:rFonts w:ascii="Times New Roman" w:hAnsi="Times New Roman"/>
                <w:bCs/>
                <w:sz w:val="20"/>
                <w:szCs w:val="20"/>
              </w:rPr>
              <w:t>tion of the area by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IBGE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6C0F3EBF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032</w:t>
            </w:r>
          </w:p>
        </w:tc>
        <w:tc>
          <w:tcPr>
            <w:tcW w:w="2110" w:type="pct"/>
          </w:tcPr>
          <w:p w14:paraId="1FE704FF" w14:textId="7B406A01" w:rsidR="00673177" w:rsidRPr="00A2001B" w:rsidRDefault="005A503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There is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a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certain proportionality among the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es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regarding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paying the costs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transport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packages to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Collector Station and the size of the harvested area, as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of the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30 who fully disagree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, 23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cultivate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areas smaller than five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hectares,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wh</w:t>
            </w:r>
            <w:r w:rsidR="00486D75" w:rsidRPr="00A2001B">
              <w:rPr>
                <w:rFonts w:ascii="Times New Roman" w:hAnsi="Times New Roman"/>
                <w:bCs/>
                <w:sz w:val="20"/>
                <w:szCs w:val="20"/>
              </w:rPr>
              <w:t>ich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suggests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that, for them, the cost of empty package transportation is high,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so they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tend, when they return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packages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, to use favors from other large</w:t>
            </w:r>
            <w:r w:rsidR="00486D75" w:rsidRPr="00A2001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size</w:t>
            </w:r>
            <w:r w:rsidR="00486D75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producers, as note</w:t>
            </w:r>
            <w:r w:rsidR="00486D75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in the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es when the data collection was performed.</w:t>
            </w:r>
          </w:p>
        </w:tc>
      </w:tr>
      <w:tr w:rsidR="00673177" w:rsidRPr="00A2001B" w14:paraId="55BF40F3" w14:textId="77777777" w:rsidTr="002A060D">
        <w:tc>
          <w:tcPr>
            <w:tcW w:w="1086" w:type="pct"/>
          </w:tcPr>
          <w:p w14:paraId="26149CFF" w14:textId="712F9AA0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P-12 – </w:t>
            </w:r>
            <w:r w:rsidR="003C221B" w:rsidRPr="00A200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a</w:t>
            </w:r>
            <w:r w:rsidR="003C221B" w:rsidRPr="00A2001B">
              <w:rPr>
                <w:rFonts w:ascii="Times New Roman" w:hAnsi="Times New Roman"/>
                <w:sz w:val="20"/>
                <w:szCs w:val="20"/>
              </w:rPr>
              <w:t>lways return the empty packages of agricultural pesticides to the retailers where I purchase</w:t>
            </w:r>
            <w:r w:rsidR="00EA6121" w:rsidRPr="00A2001B">
              <w:rPr>
                <w:rFonts w:ascii="Times New Roman" w:hAnsi="Times New Roman"/>
                <w:sz w:val="20"/>
                <w:szCs w:val="20"/>
              </w:rPr>
              <w:t>d</w:t>
            </w:r>
            <w:r w:rsidR="003C221B" w:rsidRPr="00A2001B">
              <w:rPr>
                <w:rFonts w:ascii="Times New Roman" w:hAnsi="Times New Roman"/>
                <w:sz w:val="20"/>
                <w:szCs w:val="20"/>
              </w:rPr>
              <w:t xml:space="preserve"> them.</w:t>
            </w:r>
          </w:p>
        </w:tc>
        <w:tc>
          <w:tcPr>
            <w:tcW w:w="1164" w:type="pct"/>
          </w:tcPr>
          <w:p w14:paraId="7FD7A77E" w14:textId="5DBBE401" w:rsidR="00673177" w:rsidRPr="00A2001B" w:rsidRDefault="003C221B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0F418A35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021</w:t>
            </w:r>
          </w:p>
        </w:tc>
        <w:tc>
          <w:tcPr>
            <w:tcW w:w="2110" w:type="pct"/>
          </w:tcPr>
          <w:p w14:paraId="605FC96D" w14:textId="1B5CAC07" w:rsidR="00673177" w:rsidRPr="00A2001B" w:rsidRDefault="00195D1D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There is consistency in the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es, as 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27 </w:t>
            </w:r>
            <w:r w:rsidR="00EA6121"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those who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sponde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d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that they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disagree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disagree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about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return</w:t>
            </w:r>
            <w:r w:rsidR="00486D75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packages 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>to the retailers, 17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spond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>ed they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do not return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them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and the other eight that the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tim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of return var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>ies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Of the four </w:t>
            </w:r>
            <w:r w:rsidR="00EA6121"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spond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>ed t</w:t>
            </w:r>
            <w:r w:rsidR="00486D75" w:rsidRPr="00A2001B">
              <w:rPr>
                <w:rFonts w:ascii="Times New Roman" w:hAnsi="Times New Roman"/>
                <w:bCs/>
                <w:sz w:val="20"/>
                <w:szCs w:val="20"/>
              </w:rPr>
              <w:t>hat they completely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returning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packages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>, all said that they return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packages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between one and two years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from the date of purchase</w:t>
            </w:r>
            <w:r w:rsidR="00CB2FBD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673177" w:rsidRPr="00A2001B" w14:paraId="78B76611" w14:textId="77777777" w:rsidTr="002A060D">
        <w:tc>
          <w:tcPr>
            <w:tcW w:w="1086" w:type="pct"/>
          </w:tcPr>
          <w:p w14:paraId="252B88C4" w14:textId="7D751EF4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P-13 – </w:t>
            </w:r>
            <w:r w:rsidR="00950162" w:rsidRPr="00A2001B">
              <w:rPr>
                <w:rFonts w:ascii="Times New Roman" w:hAnsi="Times New Roman"/>
                <w:sz w:val="20"/>
                <w:szCs w:val="20"/>
              </w:rPr>
              <w:t>I keep archived for inspection purpose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>s</w:t>
            </w:r>
            <w:r w:rsidR="00950162" w:rsidRPr="00A2001B">
              <w:rPr>
                <w:rFonts w:ascii="Times New Roman" w:hAnsi="Times New Roman"/>
                <w:sz w:val="20"/>
                <w:szCs w:val="20"/>
              </w:rPr>
              <w:t xml:space="preserve"> the purchase invoices and the return receipt</w:t>
            </w:r>
            <w:r w:rsidR="00B003BB" w:rsidRPr="00A2001B">
              <w:rPr>
                <w:rFonts w:ascii="Times New Roman" w:hAnsi="Times New Roman"/>
                <w:sz w:val="20"/>
                <w:szCs w:val="20"/>
              </w:rPr>
              <w:t>s</w:t>
            </w:r>
            <w:r w:rsidR="00950162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03BB" w:rsidRPr="00A2001B">
              <w:rPr>
                <w:rFonts w:ascii="Times New Roman" w:hAnsi="Times New Roman"/>
                <w:sz w:val="20"/>
                <w:szCs w:val="20"/>
              </w:rPr>
              <w:t>for</w:t>
            </w:r>
            <w:r w:rsidR="00950162" w:rsidRPr="00A2001B">
              <w:rPr>
                <w:rFonts w:ascii="Times New Roman" w:hAnsi="Times New Roman"/>
                <w:sz w:val="20"/>
                <w:szCs w:val="20"/>
              </w:rPr>
              <w:t xml:space="preserve"> empty packages.</w:t>
            </w:r>
          </w:p>
        </w:tc>
        <w:tc>
          <w:tcPr>
            <w:tcW w:w="1164" w:type="pct"/>
          </w:tcPr>
          <w:p w14:paraId="122A7C8E" w14:textId="31613186" w:rsidR="00673177" w:rsidRPr="00A2001B" w:rsidRDefault="00950162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02F913A7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016</w:t>
            </w:r>
          </w:p>
        </w:tc>
        <w:tc>
          <w:tcPr>
            <w:tcW w:w="2110" w:type="pct"/>
          </w:tcPr>
          <w:p w14:paraId="2873ACC2" w14:textId="47CE0FB0" w:rsidR="00673177" w:rsidRPr="00A2001B" w:rsidRDefault="00486D75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25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disagree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disagree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keeping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>, for purpose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of inspection, the purchase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>nvoices and the package return receipts, 15 sa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do not 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return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packages 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>d eight sa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that the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tim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of return var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>ies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However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of 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>17 who 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>about keeping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invoices and return receipts, 11 sa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they return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them 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even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if 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tim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ing in doing so </w:t>
            </w:r>
            <w:r w:rsidR="00950162" w:rsidRPr="00A2001B">
              <w:rPr>
                <w:rFonts w:ascii="Times New Roman" w:hAnsi="Times New Roman"/>
                <w:bCs/>
                <w:sz w:val="20"/>
                <w:szCs w:val="20"/>
              </w:rPr>
              <w:t>varies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14:paraId="2ED397FB" w14:textId="473CB8C4" w:rsidR="00673177" w:rsidRPr="00A2001B" w:rsidRDefault="002C6426" w:rsidP="00A20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2001B">
        <w:rPr>
          <w:rFonts w:ascii="Times New Roman" w:hAnsi="Times New Roman"/>
          <w:b/>
          <w:sz w:val="20"/>
          <w:szCs w:val="20"/>
        </w:rPr>
        <w:t xml:space="preserve">Source: Research </w:t>
      </w:r>
      <w:r w:rsidR="00AA5476" w:rsidRPr="00A2001B">
        <w:rPr>
          <w:rFonts w:ascii="Times New Roman" w:hAnsi="Times New Roman"/>
          <w:b/>
          <w:sz w:val="20"/>
          <w:szCs w:val="20"/>
        </w:rPr>
        <w:t>d</w:t>
      </w:r>
      <w:r w:rsidRPr="00A2001B">
        <w:rPr>
          <w:rFonts w:ascii="Times New Roman" w:hAnsi="Times New Roman"/>
          <w:b/>
          <w:sz w:val="20"/>
          <w:szCs w:val="20"/>
        </w:rPr>
        <w:t>ata</w:t>
      </w:r>
      <w:bookmarkEnd w:id="2"/>
    </w:p>
    <w:p w14:paraId="1D870368" w14:textId="1BD0FCE4" w:rsidR="00673177" w:rsidRPr="00A2001B" w:rsidRDefault="00AF6324" w:rsidP="00A20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" w:name="_Hlk505178335"/>
      <w:r w:rsidRPr="00A2001B">
        <w:rPr>
          <w:rFonts w:ascii="Times New Roman" w:hAnsi="Times New Roman"/>
          <w:b/>
          <w:sz w:val="20"/>
          <w:szCs w:val="20"/>
        </w:rPr>
        <w:t>Table</w:t>
      </w:r>
      <w:r w:rsidR="00673177" w:rsidRPr="00A2001B">
        <w:rPr>
          <w:rFonts w:ascii="Times New Roman" w:hAnsi="Times New Roman"/>
          <w:b/>
          <w:sz w:val="20"/>
          <w:szCs w:val="20"/>
        </w:rPr>
        <w:t xml:space="preserve"> 2c: Situa</w:t>
      </w:r>
      <w:r w:rsidRPr="00A2001B">
        <w:rPr>
          <w:rFonts w:ascii="Times New Roman" w:hAnsi="Times New Roman"/>
          <w:b/>
          <w:sz w:val="20"/>
          <w:szCs w:val="20"/>
        </w:rPr>
        <w:t>tio</w:t>
      </w:r>
      <w:r w:rsidR="00B157EA" w:rsidRPr="00A2001B">
        <w:rPr>
          <w:rFonts w:ascii="Times New Roman" w:hAnsi="Times New Roman"/>
          <w:b/>
          <w:sz w:val="20"/>
          <w:szCs w:val="20"/>
        </w:rPr>
        <w:t>n</w:t>
      </w:r>
      <w:r w:rsidRPr="00A2001B">
        <w:rPr>
          <w:rFonts w:ascii="Times New Roman" w:hAnsi="Times New Roman"/>
          <w:b/>
          <w:sz w:val="20"/>
          <w:szCs w:val="20"/>
        </w:rPr>
        <w:t>s of Cross-tab with Chi-Square</w:t>
      </w:r>
      <w:r w:rsidR="00F735A6" w:rsidRPr="00A2001B">
        <w:rPr>
          <w:rFonts w:ascii="Times New Roman" w:hAnsi="Times New Roman"/>
          <w:b/>
          <w:sz w:val="20"/>
          <w:szCs w:val="20"/>
        </w:rPr>
        <w:t xml:space="preserve"> &lt; 0.</w:t>
      </w:r>
      <w:r w:rsidR="00673177" w:rsidRPr="00A2001B">
        <w:rPr>
          <w:rFonts w:ascii="Times New Roman" w:hAnsi="Times New Roman"/>
          <w:b/>
          <w:sz w:val="20"/>
          <w:szCs w:val="20"/>
        </w:rPr>
        <w:t>05</w:t>
      </w:r>
    </w:p>
    <w:tbl>
      <w:tblPr>
        <w:tblStyle w:val="TableGrid"/>
        <w:tblW w:w="4884" w:type="pct"/>
        <w:tblLook w:val="01E0" w:firstRow="1" w:lastRow="1" w:firstColumn="1" w:lastColumn="1" w:noHBand="0" w:noVBand="0"/>
      </w:tblPr>
      <w:tblGrid>
        <w:gridCol w:w="1971"/>
        <w:gridCol w:w="2112"/>
        <w:gridCol w:w="1161"/>
        <w:gridCol w:w="3828"/>
      </w:tblGrid>
      <w:tr w:rsidR="00673177" w:rsidRPr="00A2001B" w14:paraId="508EE8FA" w14:textId="77777777" w:rsidTr="002A060D">
        <w:tc>
          <w:tcPr>
            <w:tcW w:w="1086" w:type="pct"/>
          </w:tcPr>
          <w:p w14:paraId="5F9A6AE5" w14:textId="77777777" w:rsidR="00673177" w:rsidRPr="00A2001B" w:rsidRDefault="00AF6324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Evaluated Question</w:t>
            </w:r>
          </w:p>
        </w:tc>
        <w:tc>
          <w:tcPr>
            <w:tcW w:w="1164" w:type="pct"/>
          </w:tcPr>
          <w:p w14:paraId="4203C349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Cr</w:t>
            </w:r>
            <w:r w:rsidR="00AF6324" w:rsidRPr="00A2001B">
              <w:rPr>
                <w:rFonts w:ascii="Times New Roman" w:hAnsi="Times New Roman"/>
                <w:b/>
                <w:sz w:val="20"/>
                <w:szCs w:val="20"/>
              </w:rPr>
              <w:t>ossover</w:t>
            </w:r>
          </w:p>
        </w:tc>
        <w:tc>
          <w:tcPr>
            <w:tcW w:w="640" w:type="pct"/>
          </w:tcPr>
          <w:p w14:paraId="2567972C" w14:textId="77777777" w:rsidR="00673177" w:rsidRPr="00A2001B" w:rsidRDefault="00AF6324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2110" w:type="pct"/>
          </w:tcPr>
          <w:p w14:paraId="121F29AF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An</w:t>
            </w:r>
            <w:r w:rsidR="00AF6324" w:rsidRPr="00A2001B">
              <w:rPr>
                <w:rFonts w:ascii="Times New Roman" w:hAnsi="Times New Roman"/>
                <w:b/>
                <w:sz w:val="20"/>
                <w:szCs w:val="20"/>
              </w:rPr>
              <w:t>alysis</w:t>
            </w:r>
          </w:p>
        </w:tc>
      </w:tr>
      <w:tr w:rsidR="00673177" w:rsidRPr="00A2001B" w14:paraId="6FE7F068" w14:textId="77777777" w:rsidTr="002A060D">
        <w:tc>
          <w:tcPr>
            <w:tcW w:w="1086" w:type="pct"/>
          </w:tcPr>
          <w:p w14:paraId="158CA6D3" w14:textId="7F890B45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P-14 –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F6324" w:rsidRPr="00A2001B">
              <w:rPr>
                <w:rFonts w:ascii="Times New Roman" w:hAnsi="Times New Roman"/>
                <w:sz w:val="20"/>
                <w:szCs w:val="20"/>
              </w:rPr>
              <w:t>When I make a new purchase of agricultural pesticide, I am charged by the retailer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 xml:space="preserve"> for</w:t>
            </w:r>
            <w:r w:rsidR="00AF6324" w:rsidRPr="00A2001B">
              <w:rPr>
                <w:rFonts w:ascii="Times New Roman" w:hAnsi="Times New Roman"/>
                <w:sz w:val="20"/>
                <w:szCs w:val="20"/>
              </w:rPr>
              <w:t xml:space="preserve"> the empty packages from the last purchase.</w:t>
            </w:r>
          </w:p>
        </w:tc>
        <w:tc>
          <w:tcPr>
            <w:tcW w:w="1164" w:type="pct"/>
          </w:tcPr>
          <w:p w14:paraId="4FE8A4A0" w14:textId="6D0F3401" w:rsidR="00673177" w:rsidRPr="00A2001B" w:rsidRDefault="00AF6324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2B005BE7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043</w:t>
            </w:r>
          </w:p>
        </w:tc>
        <w:tc>
          <w:tcPr>
            <w:tcW w:w="2110" w:type="pct"/>
          </w:tcPr>
          <w:p w14:paraId="47D27539" w14:textId="0CA402D4" w:rsidR="00673177" w:rsidRPr="00A2001B" w:rsidRDefault="003267A9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42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fully disagree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being 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>charged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by the retailer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empty packages from the last purchase, 21 sa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that they do not return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packages 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>and 12 that the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tim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r w:rsidR="000E38D4" w:rsidRPr="00A2001B">
              <w:rPr>
                <w:rFonts w:ascii="Times New Roman" w:hAnsi="Times New Roman"/>
                <w:bCs/>
                <w:sz w:val="20"/>
                <w:szCs w:val="20"/>
              </w:rPr>
              <w:t>return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varies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f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five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being charged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>by the retailer, four sa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AF6324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that they return packages.</w:t>
            </w:r>
          </w:p>
        </w:tc>
      </w:tr>
      <w:tr w:rsidR="00673177" w:rsidRPr="00A2001B" w14:paraId="59FE7D40" w14:textId="77777777" w:rsidTr="002A060D">
        <w:tc>
          <w:tcPr>
            <w:tcW w:w="1086" w:type="pct"/>
          </w:tcPr>
          <w:p w14:paraId="2FFECAC8" w14:textId="16DDA05A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P-16 – </w:t>
            </w:r>
            <w:r w:rsidR="00594D70" w:rsidRPr="00A2001B">
              <w:rPr>
                <w:rFonts w:ascii="Times New Roman" w:hAnsi="Times New Roman"/>
                <w:sz w:val="20"/>
                <w:szCs w:val="20"/>
              </w:rPr>
              <w:t xml:space="preserve">I am aware of the penalties applied for inadequate 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 xml:space="preserve">disposal </w:t>
            </w:r>
            <w:r w:rsidR="00594D70" w:rsidRPr="00A2001B">
              <w:rPr>
                <w:rFonts w:ascii="Times New Roman" w:hAnsi="Times New Roman"/>
                <w:sz w:val="20"/>
                <w:szCs w:val="20"/>
              </w:rPr>
              <w:t>of empty packages.</w:t>
            </w:r>
          </w:p>
        </w:tc>
        <w:tc>
          <w:tcPr>
            <w:tcW w:w="1164" w:type="pct"/>
          </w:tcPr>
          <w:p w14:paraId="5CB61E04" w14:textId="48CE25AF" w:rsidR="00673177" w:rsidRPr="00A2001B" w:rsidRDefault="00594D70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How often I return packages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51AA649B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012</w:t>
            </w:r>
          </w:p>
        </w:tc>
        <w:tc>
          <w:tcPr>
            <w:tcW w:w="2110" w:type="pct"/>
          </w:tcPr>
          <w:p w14:paraId="10E27065" w14:textId="271F012F" w:rsidR="00673177" w:rsidRPr="00A2001B" w:rsidRDefault="003267A9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30 respondents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knowing the penalties for the inadequate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disposal 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>of empty packages, 11 do not return them</w:t>
            </w:r>
            <w:r w:rsidR="00C934A9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>12 sa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that the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tim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of return varies.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In contrast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14 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disagree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disagree</w:t>
            </w:r>
            <w:r w:rsidR="00B003BB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594D70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about knowing the penalties, seven do not return packages.</w:t>
            </w:r>
          </w:p>
        </w:tc>
      </w:tr>
      <w:tr w:rsidR="00673177" w:rsidRPr="00A2001B" w14:paraId="0D36A4F4" w14:textId="77777777" w:rsidTr="002A060D">
        <w:tc>
          <w:tcPr>
            <w:tcW w:w="1086" w:type="pct"/>
          </w:tcPr>
          <w:p w14:paraId="1317E0B0" w14:textId="6B7D2AE8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P-16 – </w:t>
            </w:r>
            <w:r w:rsidR="00867DE8" w:rsidRPr="00A2001B">
              <w:rPr>
                <w:rFonts w:ascii="Times New Roman" w:hAnsi="Times New Roman"/>
                <w:sz w:val="20"/>
                <w:szCs w:val="20"/>
              </w:rPr>
              <w:t xml:space="preserve">I am aware of the penalties applied for inadequate 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 xml:space="preserve">disposal </w:t>
            </w:r>
            <w:r w:rsidR="00867DE8" w:rsidRPr="00A2001B">
              <w:rPr>
                <w:rFonts w:ascii="Times New Roman" w:hAnsi="Times New Roman"/>
                <w:sz w:val="20"/>
                <w:szCs w:val="20"/>
              </w:rPr>
              <w:t>of the empty packages.</w:t>
            </w:r>
          </w:p>
        </w:tc>
        <w:tc>
          <w:tcPr>
            <w:tcW w:w="1164" w:type="pct"/>
          </w:tcPr>
          <w:p w14:paraId="16136AA6" w14:textId="2B519E88" w:rsidR="00673177" w:rsidRPr="00A2001B" w:rsidRDefault="00867DE8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Segmentation of the area by IBGE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0" w:type="pct"/>
          </w:tcPr>
          <w:p w14:paraId="01EF2A51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>043</w:t>
            </w:r>
          </w:p>
        </w:tc>
        <w:tc>
          <w:tcPr>
            <w:tcW w:w="2110" w:type="pct"/>
          </w:tcPr>
          <w:p w14:paraId="4F3707E4" w14:textId="334B4041" w:rsidR="00673177" w:rsidRPr="00A2001B" w:rsidRDefault="00867DE8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There is a certain balance between the re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spons</w:t>
            </w:r>
            <w:r w:rsidRPr="00A2001B">
              <w:rPr>
                <w:rFonts w:ascii="Times New Roman" w:hAnsi="Times New Roman"/>
                <w:bCs/>
                <w:sz w:val="20"/>
                <w:szCs w:val="20"/>
              </w:rPr>
              <w:t>es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regarding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know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>ing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penalties for inadequate 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disposal 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>of empty packages and the size of the harvest</w:t>
            </w:r>
            <w:r w:rsidR="00186DD3" w:rsidRPr="00A2001B">
              <w:rPr>
                <w:rFonts w:ascii="Times New Roman" w:hAnsi="Times New Roman"/>
                <w:bCs/>
                <w:sz w:val="20"/>
                <w:szCs w:val="20"/>
              </w:rPr>
              <w:t>ed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area, as 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of 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the 30 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agree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agree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, 19 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>cultivate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areas smaller than five 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hectares. 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>f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14 </w:t>
            </w:r>
            <w:r w:rsidR="003267A9" w:rsidRPr="00A2001B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disagree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or fully disagree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, 10 also 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>cultivat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>e areas smaller than five</w:t>
            </w:r>
            <w:r w:rsidR="00673177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hectares. </w:t>
            </w:r>
            <w:r w:rsidR="006122EE" w:rsidRPr="00A2001B">
              <w:rPr>
                <w:rFonts w:ascii="Times New Roman" w:hAnsi="Times New Roman"/>
                <w:bCs/>
                <w:sz w:val="20"/>
                <w:szCs w:val="20"/>
              </w:rPr>
              <w:t>This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leads us to consider that for them (the small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producers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the responsibility is 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more </w:t>
            </w:r>
            <w:r w:rsidR="00F4476C" w:rsidRPr="00A2001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keenly</w:t>
            </w:r>
            <w:r w:rsidR="00B47953" w:rsidRPr="00A2001B">
              <w:rPr>
                <w:rFonts w:ascii="Times New Roman" w:hAnsi="Times New Roman"/>
                <w:bCs/>
                <w:sz w:val="20"/>
                <w:szCs w:val="20"/>
              </w:rPr>
              <w:t xml:space="preserve"> felt.</w:t>
            </w:r>
          </w:p>
        </w:tc>
      </w:tr>
    </w:tbl>
    <w:p w14:paraId="0462D712" w14:textId="606E762F" w:rsidR="00673177" w:rsidRPr="00A2001B" w:rsidRDefault="00B157EA" w:rsidP="00A2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2001B">
        <w:rPr>
          <w:rFonts w:ascii="Times New Roman" w:hAnsi="Times New Roman"/>
          <w:b/>
          <w:sz w:val="20"/>
          <w:szCs w:val="20"/>
        </w:rPr>
        <w:lastRenderedPageBreak/>
        <w:t>Sourc</w:t>
      </w:r>
      <w:r w:rsidR="00673177" w:rsidRPr="00A2001B">
        <w:rPr>
          <w:rFonts w:ascii="Times New Roman" w:hAnsi="Times New Roman"/>
          <w:b/>
          <w:sz w:val="20"/>
          <w:szCs w:val="20"/>
        </w:rPr>
        <w:t xml:space="preserve">e: </w:t>
      </w:r>
      <w:r w:rsidR="002C6426" w:rsidRPr="00A2001B">
        <w:rPr>
          <w:rFonts w:ascii="Times New Roman" w:hAnsi="Times New Roman"/>
          <w:b/>
          <w:sz w:val="20"/>
          <w:szCs w:val="20"/>
        </w:rPr>
        <w:t xml:space="preserve">Research </w:t>
      </w:r>
      <w:r w:rsidR="00AA5476" w:rsidRPr="00A2001B">
        <w:rPr>
          <w:rFonts w:ascii="Times New Roman" w:hAnsi="Times New Roman"/>
          <w:b/>
          <w:sz w:val="20"/>
          <w:szCs w:val="20"/>
        </w:rPr>
        <w:t>d</w:t>
      </w:r>
      <w:r w:rsidR="002C6426" w:rsidRPr="00A2001B">
        <w:rPr>
          <w:rFonts w:ascii="Times New Roman" w:hAnsi="Times New Roman"/>
          <w:b/>
          <w:sz w:val="20"/>
          <w:szCs w:val="20"/>
        </w:rPr>
        <w:t>ata</w:t>
      </w:r>
      <w:bookmarkEnd w:id="3"/>
    </w:p>
    <w:p w14:paraId="1060682B" w14:textId="17CD5899" w:rsidR="00673177" w:rsidRPr="00A2001B" w:rsidRDefault="00673177" w:rsidP="00A20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4" w:name="_Hlk505178513"/>
      <w:r w:rsidRPr="00A2001B">
        <w:rPr>
          <w:rFonts w:ascii="Times New Roman" w:hAnsi="Times New Roman"/>
          <w:b/>
          <w:sz w:val="20"/>
          <w:szCs w:val="20"/>
        </w:rPr>
        <w:t>Tab</w:t>
      </w:r>
      <w:r w:rsidR="003E2EA9" w:rsidRPr="00A2001B">
        <w:rPr>
          <w:rFonts w:ascii="Times New Roman" w:hAnsi="Times New Roman"/>
          <w:b/>
          <w:sz w:val="20"/>
          <w:szCs w:val="20"/>
        </w:rPr>
        <w:t>le</w:t>
      </w:r>
      <w:r w:rsidRPr="00A2001B">
        <w:rPr>
          <w:rFonts w:ascii="Times New Roman" w:hAnsi="Times New Roman"/>
          <w:b/>
          <w:sz w:val="20"/>
          <w:szCs w:val="20"/>
        </w:rPr>
        <w:t xml:space="preserve"> </w:t>
      </w:r>
      <w:r w:rsidR="00784906" w:rsidRPr="00A2001B">
        <w:rPr>
          <w:rFonts w:ascii="Times New Roman" w:hAnsi="Times New Roman"/>
          <w:b/>
          <w:sz w:val="20"/>
          <w:szCs w:val="20"/>
        </w:rPr>
        <w:t>3</w:t>
      </w:r>
      <w:r w:rsidRPr="00A2001B">
        <w:rPr>
          <w:rFonts w:ascii="Times New Roman" w:hAnsi="Times New Roman"/>
          <w:b/>
          <w:sz w:val="20"/>
          <w:szCs w:val="20"/>
        </w:rPr>
        <w:t xml:space="preserve"> – </w:t>
      </w:r>
      <w:r w:rsidR="00AA5476" w:rsidRPr="00A2001B">
        <w:rPr>
          <w:rFonts w:ascii="Times New Roman" w:hAnsi="Times New Roman"/>
          <w:b/>
          <w:sz w:val="20"/>
          <w:szCs w:val="20"/>
        </w:rPr>
        <w:t>Frequency of</w:t>
      </w:r>
      <w:r w:rsidR="003E2EA9" w:rsidRPr="00A2001B">
        <w:rPr>
          <w:rFonts w:ascii="Times New Roman" w:hAnsi="Times New Roman"/>
          <w:b/>
          <w:sz w:val="20"/>
          <w:szCs w:val="20"/>
        </w:rPr>
        <w:t xml:space="preserve"> return</w:t>
      </w:r>
      <w:r w:rsidR="00AA5476" w:rsidRPr="00A2001B">
        <w:rPr>
          <w:rFonts w:ascii="Times New Roman" w:hAnsi="Times New Roman"/>
          <w:b/>
          <w:sz w:val="20"/>
          <w:szCs w:val="20"/>
        </w:rPr>
        <w:t>ing</w:t>
      </w:r>
      <w:r w:rsidR="003E2EA9" w:rsidRPr="00A2001B">
        <w:rPr>
          <w:rFonts w:ascii="Times New Roman" w:hAnsi="Times New Roman"/>
          <w:b/>
          <w:sz w:val="20"/>
          <w:szCs w:val="20"/>
        </w:rPr>
        <w:t xml:space="preserve"> empty </w:t>
      </w:r>
      <w:r w:rsidR="009C3A41" w:rsidRPr="00A2001B">
        <w:rPr>
          <w:rFonts w:ascii="Times New Roman" w:hAnsi="Times New Roman"/>
          <w:b/>
          <w:sz w:val="20"/>
          <w:szCs w:val="20"/>
        </w:rPr>
        <w:t xml:space="preserve">pesticide </w:t>
      </w:r>
      <w:r w:rsidR="003E2EA9" w:rsidRPr="00A2001B">
        <w:rPr>
          <w:rFonts w:ascii="Times New Roman" w:hAnsi="Times New Roman"/>
          <w:b/>
          <w:sz w:val="20"/>
          <w:szCs w:val="20"/>
        </w:rPr>
        <w:t xml:space="preserve">packages </w:t>
      </w: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309"/>
        <w:gridCol w:w="1245"/>
        <w:gridCol w:w="1430"/>
        <w:gridCol w:w="1476"/>
        <w:gridCol w:w="1820"/>
      </w:tblGrid>
      <w:tr w:rsidR="00673177" w:rsidRPr="00A2001B" w14:paraId="672AFEB4" w14:textId="77777777" w:rsidTr="00686DEC">
        <w:trPr>
          <w:cantSplit/>
        </w:trPr>
        <w:tc>
          <w:tcPr>
            <w:tcW w:w="8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88E0F5" w14:textId="4BD0022E" w:rsidR="00673177" w:rsidRPr="00A2001B" w:rsidRDefault="003E2EA9" w:rsidP="00A2001B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How often do I return packages</w:t>
            </w:r>
            <w:r w:rsidR="00673177" w:rsidRPr="00A200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?</w:t>
            </w:r>
          </w:p>
        </w:tc>
      </w:tr>
      <w:tr w:rsidR="00673177" w:rsidRPr="00A2001B" w14:paraId="5B838A51" w14:textId="77777777" w:rsidTr="00686DEC">
        <w:trPr>
          <w:cantSplit/>
        </w:trPr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7A2836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65A43E" w14:textId="77777777" w:rsidR="00673177" w:rsidRPr="00A2001B" w:rsidRDefault="001E07A5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Frequency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5AA57A" w14:textId="77777777" w:rsidR="00673177" w:rsidRPr="00A2001B" w:rsidRDefault="001E07A5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Pe</w:t>
            </w:r>
            <w:r w:rsidR="00673177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rcentage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8B3A0C" w14:textId="77777777" w:rsidR="00673177" w:rsidRPr="00A2001B" w:rsidRDefault="001E07A5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Valid Percentage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3EBA73" w14:textId="77777777" w:rsidR="00673177" w:rsidRPr="00A2001B" w:rsidRDefault="001E07A5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="00F0608C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</w:t>
            </w: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cumulative Percentage</w:t>
            </w:r>
          </w:p>
        </w:tc>
      </w:tr>
      <w:tr w:rsidR="00673177" w:rsidRPr="00A2001B" w14:paraId="76AD799A" w14:textId="77777777" w:rsidTr="00686DEC">
        <w:trPr>
          <w:cantSplit/>
        </w:trPr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E3CA3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912AF" w14:textId="788685C6" w:rsidR="00673177" w:rsidRPr="00A2001B" w:rsidRDefault="00AA547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More than</w:t>
            </w:r>
            <w:r w:rsidR="001E07A5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once per</w:t>
            </w:r>
            <w:r w:rsidR="001E07A5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year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E7269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7C76A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9F9DD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358AC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673177" w:rsidRPr="00A2001B" w14:paraId="48C201E4" w14:textId="77777777" w:rsidTr="00686DEC">
        <w:trPr>
          <w:cantSplit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EEED8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DD5DE" w14:textId="5CFE1DD6" w:rsidR="00673177" w:rsidRPr="00A2001B" w:rsidRDefault="00AA547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Once every</w:t>
            </w:r>
            <w:r w:rsidR="00673177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1</w:t>
            </w: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-</w:t>
            </w:r>
            <w:r w:rsidR="00673177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2 </w:t>
            </w:r>
            <w:r w:rsidR="001E07A5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29A29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1020B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4.</w:t>
            </w:r>
            <w:r w:rsidR="00673177"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8303E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4.</w:t>
            </w:r>
            <w:r w:rsidR="00673177"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FA8F7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29.</w:t>
            </w:r>
            <w:r w:rsidR="00673177"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73177" w:rsidRPr="00A2001B" w14:paraId="22EA3C7A" w14:textId="77777777" w:rsidTr="00686DEC">
        <w:trPr>
          <w:cantSplit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F72E6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7D10D" w14:textId="1BCB8A1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Var</w:t>
            </w:r>
            <w:r w:rsidR="00AA5476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ies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B9DFE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8CA95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0572D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D10CB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54</w:t>
            </w:r>
            <w:r w:rsidR="00F735A6"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.</w:t>
            </w: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673177" w:rsidRPr="00A2001B" w14:paraId="67BE501C" w14:textId="77777777" w:rsidTr="00686DEC">
        <w:trPr>
          <w:cantSplit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ECA32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3FAAA5" w14:textId="6A7D44AF" w:rsidR="00673177" w:rsidRPr="00A2001B" w:rsidRDefault="00AA547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Do n</w:t>
            </w:r>
            <w:r w:rsidR="001E07A5"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ot return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82448C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8C8912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45.</w:t>
            </w:r>
            <w:r w:rsidR="00673177"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36C0E" w14:textId="77777777" w:rsidR="00673177" w:rsidRPr="00A2001B" w:rsidRDefault="00F735A6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45.</w:t>
            </w:r>
            <w:r w:rsidR="00673177"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519DF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673177" w:rsidRPr="00A2001B" w14:paraId="53520249" w14:textId="77777777" w:rsidTr="00686DEC">
        <w:trPr>
          <w:cantSplit/>
        </w:trPr>
        <w:tc>
          <w:tcPr>
            <w:tcW w:w="1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1422AF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834541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049280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7501B5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CF41FD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2001B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235A74" w14:textId="77777777" w:rsidR="00673177" w:rsidRPr="00A2001B" w:rsidRDefault="00673177" w:rsidP="00A2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</w:tbl>
    <w:p w14:paraId="0C2E84D0" w14:textId="62C0CD7B" w:rsidR="00673177" w:rsidRPr="00A2001B" w:rsidRDefault="001E07A5" w:rsidP="00A2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2001B">
        <w:rPr>
          <w:rFonts w:ascii="Times New Roman" w:hAnsi="Times New Roman"/>
          <w:b/>
          <w:sz w:val="20"/>
          <w:szCs w:val="20"/>
        </w:rPr>
        <w:t>Source</w:t>
      </w:r>
      <w:r w:rsidR="00673177" w:rsidRPr="00A2001B">
        <w:rPr>
          <w:rFonts w:ascii="Times New Roman" w:hAnsi="Times New Roman"/>
          <w:b/>
          <w:sz w:val="20"/>
          <w:szCs w:val="20"/>
        </w:rPr>
        <w:t xml:space="preserve">: </w:t>
      </w:r>
      <w:r w:rsidRPr="00A2001B">
        <w:rPr>
          <w:rFonts w:ascii="Times New Roman" w:hAnsi="Times New Roman"/>
          <w:b/>
          <w:sz w:val="20"/>
          <w:szCs w:val="20"/>
        </w:rPr>
        <w:t xml:space="preserve">Research </w:t>
      </w:r>
      <w:r w:rsidR="00AA5476" w:rsidRPr="00A2001B">
        <w:rPr>
          <w:rFonts w:ascii="Times New Roman" w:hAnsi="Times New Roman"/>
          <w:b/>
          <w:sz w:val="20"/>
          <w:szCs w:val="20"/>
        </w:rPr>
        <w:t>d</w:t>
      </w:r>
      <w:r w:rsidRPr="00A2001B">
        <w:rPr>
          <w:rFonts w:ascii="Times New Roman" w:hAnsi="Times New Roman"/>
          <w:b/>
          <w:sz w:val="20"/>
          <w:szCs w:val="20"/>
        </w:rPr>
        <w:t>ata</w:t>
      </w:r>
    </w:p>
    <w:bookmarkEnd w:id="4"/>
    <w:p w14:paraId="6FA9CE51" w14:textId="77777777" w:rsidR="00673177" w:rsidRPr="00A2001B" w:rsidRDefault="00673177" w:rsidP="00A2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43EAB89" w14:textId="01623854" w:rsidR="00673177" w:rsidRPr="00A2001B" w:rsidRDefault="00784906" w:rsidP="00A20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5" w:name="_Hlk505178540"/>
      <w:r w:rsidRPr="00A2001B">
        <w:rPr>
          <w:rFonts w:ascii="Times New Roman" w:hAnsi="Times New Roman"/>
          <w:b/>
          <w:sz w:val="20"/>
          <w:szCs w:val="20"/>
        </w:rPr>
        <w:t>Table 4</w:t>
      </w:r>
      <w:r w:rsidR="00732520" w:rsidRPr="00A2001B">
        <w:rPr>
          <w:rFonts w:ascii="Times New Roman" w:hAnsi="Times New Roman"/>
          <w:b/>
          <w:sz w:val="20"/>
          <w:szCs w:val="20"/>
        </w:rPr>
        <w:t xml:space="preserve"> – </w:t>
      </w:r>
      <w:r w:rsidR="00B157EA" w:rsidRPr="00A2001B">
        <w:rPr>
          <w:rFonts w:ascii="Times New Roman" w:hAnsi="Times New Roman"/>
          <w:b/>
          <w:sz w:val="20"/>
          <w:szCs w:val="20"/>
        </w:rPr>
        <w:t>T</w:t>
      </w:r>
      <w:r w:rsidR="00732520" w:rsidRPr="00A2001B">
        <w:rPr>
          <w:rFonts w:ascii="Times New Roman" w:hAnsi="Times New Roman"/>
          <w:b/>
          <w:sz w:val="20"/>
          <w:szCs w:val="20"/>
        </w:rPr>
        <w:t>he result</w:t>
      </w:r>
      <w:r w:rsidR="00B157EA" w:rsidRPr="00A2001B">
        <w:rPr>
          <w:rFonts w:ascii="Times New Roman" w:hAnsi="Times New Roman"/>
          <w:b/>
          <w:sz w:val="20"/>
          <w:szCs w:val="20"/>
        </w:rPr>
        <w:t>s</w:t>
      </w:r>
      <w:r w:rsidR="00732520" w:rsidRPr="00A2001B">
        <w:rPr>
          <w:rFonts w:ascii="Times New Roman" w:hAnsi="Times New Roman"/>
          <w:b/>
          <w:sz w:val="20"/>
          <w:szCs w:val="20"/>
        </w:rPr>
        <w:t xml:space="preserve"> of the statistical analysis</w:t>
      </w:r>
    </w:p>
    <w:tbl>
      <w:tblPr>
        <w:tblStyle w:val="TableGrid"/>
        <w:tblW w:w="4884" w:type="pct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2411"/>
        <w:gridCol w:w="1840"/>
      </w:tblGrid>
      <w:tr w:rsidR="00FB209D" w:rsidRPr="00A2001B" w14:paraId="03E45FF4" w14:textId="77777777" w:rsidTr="002A060D">
        <w:tc>
          <w:tcPr>
            <w:tcW w:w="938" w:type="pct"/>
            <w:hideMark/>
          </w:tcPr>
          <w:p w14:paraId="4347565A" w14:textId="77777777" w:rsidR="00673177" w:rsidRPr="00A2001B" w:rsidRDefault="00D152B5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Comparative cases</w:t>
            </w:r>
          </w:p>
        </w:tc>
        <w:tc>
          <w:tcPr>
            <w:tcW w:w="859" w:type="pct"/>
            <w:hideMark/>
          </w:tcPr>
          <w:p w14:paraId="22C8924A" w14:textId="1A528174" w:rsidR="00673177" w:rsidRPr="00A2001B" w:rsidRDefault="00DF3B7D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D152B5"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ay </w:t>
            </w: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or may not</w:t>
            </w:r>
            <w:r w:rsidR="00D152B5"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 return</w:t>
            </w: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 packages</w:t>
            </w:r>
          </w:p>
          <w:p w14:paraId="03A0E153" w14:textId="77777777" w:rsidR="00F735A6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860" w:type="pct"/>
            <w:hideMark/>
          </w:tcPr>
          <w:p w14:paraId="4DF0E8B8" w14:textId="4205E89C" w:rsidR="00673177" w:rsidRPr="00A2001B" w:rsidRDefault="00D152B5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Tendency </w:t>
            </w:r>
            <w:r w:rsidR="00A45ABC" w:rsidRPr="00A2001B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o not return</w:t>
            </w:r>
            <w:r w:rsidR="00A45ABC"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 packages</w:t>
            </w:r>
          </w:p>
          <w:p w14:paraId="2E1CC432" w14:textId="77777777" w:rsidR="00F735A6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1329" w:type="pct"/>
            <w:hideMark/>
          </w:tcPr>
          <w:p w14:paraId="209F747A" w14:textId="77777777" w:rsidR="00673177" w:rsidRPr="00A2001B" w:rsidRDefault="00D152B5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Performed analysis</w:t>
            </w:r>
          </w:p>
        </w:tc>
        <w:tc>
          <w:tcPr>
            <w:tcW w:w="1014" w:type="pct"/>
            <w:hideMark/>
          </w:tcPr>
          <w:p w14:paraId="20443CA5" w14:textId="54271D62" w:rsidR="00673177" w:rsidRPr="00A2001B" w:rsidRDefault="00D152B5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Percentage tendency </w:t>
            </w:r>
            <w:r w:rsidR="00EF7C40" w:rsidRPr="00A2001B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o not c</w:t>
            </w:r>
            <w:r w:rsidR="00B157EA" w:rsidRPr="00A2001B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mply </w:t>
            </w:r>
            <w:r w:rsidR="00B157EA"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with </w:t>
            </w: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the legislation</w:t>
            </w:r>
          </w:p>
          <w:p w14:paraId="74D754FD" w14:textId="77777777" w:rsidR="00F735A6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</w:tr>
      <w:tr w:rsidR="00FB209D" w:rsidRPr="00A2001B" w14:paraId="30C361D9" w14:textId="77777777" w:rsidTr="002A060D">
        <w:tc>
          <w:tcPr>
            <w:tcW w:w="938" w:type="pct"/>
            <w:hideMark/>
          </w:tcPr>
          <w:p w14:paraId="6B41D8CC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Nogueira</w:t>
            </w:r>
            <w:r w:rsidR="003261A9"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 and</w:t>
            </w: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Dantas</w:t>
            </w:r>
            <w:proofErr w:type="spellEnd"/>
            <w:r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 (2013)</w:t>
            </w:r>
          </w:p>
        </w:tc>
        <w:tc>
          <w:tcPr>
            <w:tcW w:w="859" w:type="pct"/>
            <w:hideMark/>
          </w:tcPr>
          <w:p w14:paraId="5826FD0C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37.5</w:t>
            </w:r>
          </w:p>
        </w:tc>
        <w:tc>
          <w:tcPr>
            <w:tcW w:w="860" w:type="pct"/>
            <w:hideMark/>
          </w:tcPr>
          <w:p w14:paraId="6AC6A7C6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62.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9" w:type="pct"/>
            <w:hideMark/>
          </w:tcPr>
          <w:p w14:paraId="621F3EC7" w14:textId="209BEA56" w:rsidR="00673177" w:rsidRPr="00A2001B" w:rsidRDefault="00FB209D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The study reports that</w:t>
            </w:r>
            <w:r w:rsidR="00784906" w:rsidRPr="00A2001B">
              <w:rPr>
                <w:rFonts w:ascii="Times New Roman" w:hAnsi="Times New Roman"/>
                <w:sz w:val="20"/>
                <w:szCs w:val="20"/>
              </w:rPr>
              <w:t xml:space="preserve"> 37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return</w:t>
            </w:r>
            <w:r w:rsidR="009C3A41" w:rsidRPr="00A2001B">
              <w:rPr>
                <w:rFonts w:ascii="Times New Roman" w:hAnsi="Times New Roman"/>
                <w:sz w:val="20"/>
                <w:szCs w:val="20"/>
              </w:rPr>
              <w:t>,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53</w:t>
            </w:r>
            <w:r w:rsidR="00F735A6" w:rsidRPr="00A2001B">
              <w:rPr>
                <w:rFonts w:ascii="Times New Roman" w:hAnsi="Times New Roman"/>
                <w:sz w:val="20"/>
                <w:szCs w:val="20"/>
              </w:rPr>
              <w:t>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1%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burn and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9,4%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keep or throw away</w:t>
            </w:r>
            <w:r w:rsidR="00A45ABC" w:rsidRPr="00A2001B">
              <w:rPr>
                <w:rFonts w:ascii="Times New Roman" w:hAnsi="Times New Roman"/>
                <w:sz w:val="20"/>
                <w:szCs w:val="20"/>
              </w:rPr>
              <w:t xml:space="preserve"> packages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4" w:type="pct"/>
            <w:hideMark/>
          </w:tcPr>
          <w:p w14:paraId="63B84F34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62.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B209D" w:rsidRPr="00A2001B" w14:paraId="2646DE5C" w14:textId="77777777" w:rsidTr="002A060D">
        <w:tc>
          <w:tcPr>
            <w:tcW w:w="938" w:type="pct"/>
            <w:hideMark/>
          </w:tcPr>
          <w:p w14:paraId="528D8125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Lima et al (2009)</w:t>
            </w:r>
          </w:p>
        </w:tc>
        <w:tc>
          <w:tcPr>
            <w:tcW w:w="859" w:type="pct"/>
            <w:hideMark/>
          </w:tcPr>
          <w:p w14:paraId="19A054F1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60" w:type="pct"/>
            <w:hideMark/>
          </w:tcPr>
          <w:p w14:paraId="36E755A0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329" w:type="pct"/>
            <w:hideMark/>
          </w:tcPr>
          <w:p w14:paraId="63CCBE2E" w14:textId="0FBBB04A" w:rsidR="00673177" w:rsidRPr="00A2001B" w:rsidRDefault="00FB209D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The study shows that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80%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keep packages</w:t>
            </w:r>
            <w:r w:rsidR="00A45ABC" w:rsidRPr="00A2001B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may or may not return</w:t>
            </w:r>
            <w:r w:rsidR="00A45ABC" w:rsidRPr="00A2001B">
              <w:rPr>
                <w:rFonts w:ascii="Times New Roman" w:hAnsi="Times New Roman"/>
                <w:sz w:val="20"/>
                <w:szCs w:val="20"/>
              </w:rPr>
              <w:t xml:space="preserve"> them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4" w:type="pct"/>
            <w:hideMark/>
          </w:tcPr>
          <w:p w14:paraId="40A8C97F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FB209D" w:rsidRPr="00A2001B" w14:paraId="71FA64E5" w14:textId="77777777" w:rsidTr="002A060D">
        <w:tc>
          <w:tcPr>
            <w:tcW w:w="938" w:type="pct"/>
            <w:hideMark/>
          </w:tcPr>
          <w:p w14:paraId="07CD455E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Vezzali</w:t>
            </w:r>
            <w:proofErr w:type="spellEnd"/>
            <w:r w:rsidRPr="00A2001B">
              <w:rPr>
                <w:rFonts w:ascii="Times New Roman" w:hAnsi="Times New Roman"/>
                <w:b/>
                <w:sz w:val="20"/>
                <w:szCs w:val="20"/>
              </w:rPr>
              <w:t xml:space="preserve"> (2006)</w:t>
            </w:r>
          </w:p>
        </w:tc>
        <w:tc>
          <w:tcPr>
            <w:tcW w:w="859" w:type="pct"/>
            <w:hideMark/>
          </w:tcPr>
          <w:p w14:paraId="68EAE7BC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33.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0" w:type="pct"/>
            <w:hideMark/>
          </w:tcPr>
          <w:p w14:paraId="16C9072B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66.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9" w:type="pct"/>
            <w:hideMark/>
          </w:tcPr>
          <w:p w14:paraId="3924B75E" w14:textId="4119270A" w:rsidR="00673177" w:rsidRPr="00A2001B" w:rsidRDefault="00FB209D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It </w:t>
            </w:r>
            <w:r w:rsidR="00DF3B7D" w:rsidRPr="00A2001B">
              <w:rPr>
                <w:rFonts w:ascii="Times New Roman" w:hAnsi="Times New Roman"/>
                <w:sz w:val="20"/>
                <w:szCs w:val="20"/>
              </w:rPr>
              <w:t>i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s established that </w:t>
            </w:r>
            <w:r w:rsidR="00A45ABC" w:rsidRPr="00A2001B">
              <w:rPr>
                <w:rFonts w:ascii="Times New Roman" w:hAnsi="Times New Roman"/>
                <w:sz w:val="20"/>
                <w:szCs w:val="20"/>
              </w:rPr>
              <w:t>of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nine properties visited, six received a fine for not returning packages.</w:t>
            </w:r>
          </w:p>
        </w:tc>
        <w:tc>
          <w:tcPr>
            <w:tcW w:w="1014" w:type="pct"/>
            <w:hideMark/>
          </w:tcPr>
          <w:p w14:paraId="509B5435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66.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B209D" w:rsidRPr="00A2001B" w14:paraId="543785E8" w14:textId="77777777" w:rsidTr="002A060D">
        <w:tc>
          <w:tcPr>
            <w:tcW w:w="938" w:type="pct"/>
          </w:tcPr>
          <w:p w14:paraId="2DFD97C2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IBGE (2005)</w:t>
            </w:r>
          </w:p>
        </w:tc>
        <w:tc>
          <w:tcPr>
            <w:tcW w:w="859" w:type="pct"/>
          </w:tcPr>
          <w:p w14:paraId="74B3BCF9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38.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0" w:type="pct"/>
          </w:tcPr>
          <w:p w14:paraId="2E6591F2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61</w:t>
            </w:r>
            <w:r w:rsidR="00F735A6" w:rsidRPr="00A2001B">
              <w:rPr>
                <w:rFonts w:ascii="Times New Roman" w:hAnsi="Times New Roman"/>
                <w:sz w:val="20"/>
                <w:szCs w:val="20"/>
              </w:rPr>
              <w:t>.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9" w:type="pct"/>
          </w:tcPr>
          <w:p w14:paraId="099CC390" w14:textId="57720F00" w:rsidR="00673177" w:rsidRPr="00A2001B" w:rsidRDefault="00171535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The statistics show that 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600 </w:t>
            </w:r>
            <w:r w:rsidR="00A91BAA" w:rsidRPr="00A2001B">
              <w:rPr>
                <w:rFonts w:ascii="Times New Roman" w:hAnsi="Times New Roman"/>
                <w:sz w:val="20"/>
                <w:szCs w:val="20"/>
              </w:rPr>
              <w:t>municipalities had place</w:t>
            </w:r>
            <w:r w:rsidR="00A45ABC" w:rsidRPr="00A2001B">
              <w:rPr>
                <w:rFonts w:ascii="Times New Roman" w:hAnsi="Times New Roman"/>
                <w:sz w:val="20"/>
                <w:szCs w:val="20"/>
              </w:rPr>
              <w:t>s</w:t>
            </w:r>
            <w:r w:rsidR="00A91BAA" w:rsidRPr="00A2001B">
              <w:rPr>
                <w:rFonts w:ascii="Times New Roman" w:hAnsi="Times New Roman"/>
                <w:sz w:val="20"/>
                <w:szCs w:val="20"/>
              </w:rPr>
              <w:t xml:space="preserve"> to receive the packages and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 978</w:t>
            </w:r>
            <w:r w:rsidR="00A91BAA" w:rsidRPr="00A2001B">
              <w:rPr>
                <w:rFonts w:ascii="Times New Roman" w:hAnsi="Times New Roman"/>
                <w:sz w:val="20"/>
                <w:szCs w:val="20"/>
              </w:rPr>
              <w:t xml:space="preserve"> dispose</w:t>
            </w:r>
            <w:r w:rsidR="00DF3B7D" w:rsidRPr="00A2001B">
              <w:rPr>
                <w:rFonts w:ascii="Times New Roman" w:hAnsi="Times New Roman"/>
                <w:sz w:val="20"/>
                <w:szCs w:val="20"/>
              </w:rPr>
              <w:t>d</w:t>
            </w:r>
            <w:r w:rsidR="00A91BAA"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5ABC" w:rsidRPr="00A2001B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A91BAA" w:rsidRPr="00A2001B">
              <w:rPr>
                <w:rFonts w:ascii="Times New Roman" w:hAnsi="Times New Roman"/>
                <w:sz w:val="20"/>
                <w:szCs w:val="20"/>
              </w:rPr>
              <w:t xml:space="preserve">them in </w:t>
            </w:r>
            <w:r w:rsidR="00A45ABC" w:rsidRPr="00A2001B">
              <w:rPr>
                <w:rFonts w:ascii="Times New Roman" w:hAnsi="Times New Roman"/>
                <w:sz w:val="20"/>
                <w:szCs w:val="20"/>
              </w:rPr>
              <w:t xml:space="preserve">open-air </w:t>
            </w:r>
            <w:r w:rsidR="00A91BAA" w:rsidRPr="00A2001B">
              <w:rPr>
                <w:rFonts w:ascii="Times New Roman" w:hAnsi="Times New Roman"/>
                <w:sz w:val="20"/>
                <w:szCs w:val="20"/>
              </w:rPr>
              <w:t>dumps.</w:t>
            </w:r>
          </w:p>
        </w:tc>
        <w:tc>
          <w:tcPr>
            <w:tcW w:w="1014" w:type="pct"/>
          </w:tcPr>
          <w:p w14:paraId="5E072C33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61.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B209D" w:rsidRPr="00A2001B" w14:paraId="0148437E" w14:textId="77777777" w:rsidTr="002A060D">
        <w:tc>
          <w:tcPr>
            <w:tcW w:w="938" w:type="pct"/>
          </w:tcPr>
          <w:p w14:paraId="7118E5E7" w14:textId="77777777" w:rsidR="00673177" w:rsidRPr="00A2001B" w:rsidRDefault="003261A9" w:rsidP="00A20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01B">
              <w:rPr>
                <w:rFonts w:ascii="Times New Roman" w:hAnsi="Times New Roman"/>
                <w:b/>
                <w:sz w:val="20"/>
                <w:szCs w:val="20"/>
              </w:rPr>
              <w:t>Our research</w:t>
            </w:r>
          </w:p>
        </w:tc>
        <w:tc>
          <w:tcPr>
            <w:tcW w:w="859" w:type="pct"/>
          </w:tcPr>
          <w:p w14:paraId="6338B9D7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60" w:type="pct"/>
          </w:tcPr>
          <w:p w14:paraId="123E4EBD" w14:textId="77777777" w:rsidR="00673177" w:rsidRPr="00A2001B" w:rsidRDefault="00673177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9" w:type="pct"/>
          </w:tcPr>
          <w:p w14:paraId="7B5F7622" w14:textId="73DF8EDA" w:rsidR="00673177" w:rsidRPr="00A2001B" w:rsidRDefault="00AA77B1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 xml:space="preserve">The Cross-tab determined that 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>only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177" w:rsidRPr="00A2001B">
              <w:rPr>
                <w:rFonts w:ascii="Times New Roman" w:hAnsi="Times New Roman"/>
                <w:sz w:val="20"/>
                <w:szCs w:val="20"/>
              </w:rPr>
              <w:t xml:space="preserve">25% 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>of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r w:rsidR="002D2368" w:rsidRPr="00A2001B">
              <w:rPr>
                <w:rFonts w:ascii="Times New Roman" w:hAnsi="Times New Roman"/>
                <w:sz w:val="20"/>
                <w:szCs w:val="20"/>
              </w:rPr>
              <w:t>respondents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ha</w:t>
            </w:r>
            <w:r w:rsidR="00DF3B7D" w:rsidRPr="00A2001B">
              <w:rPr>
                <w:rFonts w:ascii="Times New Roman" w:hAnsi="Times New Roman"/>
                <w:sz w:val="20"/>
                <w:szCs w:val="20"/>
              </w:rPr>
              <w:t>d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>a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tendency 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>t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836A08" w:rsidRPr="00A2001B">
              <w:rPr>
                <w:rFonts w:ascii="Times New Roman" w:hAnsi="Times New Roman"/>
                <w:sz w:val="20"/>
                <w:szCs w:val="20"/>
              </w:rPr>
              <w:t>comply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 xml:space="preserve"> with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 xml:space="preserve"> the legislation, </w:t>
            </w:r>
            <w:r w:rsidR="003267A9" w:rsidRPr="00A2001B">
              <w:rPr>
                <w:rFonts w:ascii="Times New Roman" w:hAnsi="Times New Roman"/>
                <w:sz w:val="20"/>
                <w:szCs w:val="20"/>
              </w:rPr>
              <w:t xml:space="preserve">with 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their re</w:t>
            </w:r>
            <w:r w:rsidR="006122EE" w:rsidRPr="00A2001B">
              <w:rPr>
                <w:rFonts w:ascii="Times New Roman" w:hAnsi="Times New Roman"/>
                <w:sz w:val="20"/>
                <w:szCs w:val="20"/>
              </w:rPr>
              <w:t>spons</w:t>
            </w:r>
            <w:r w:rsidRPr="00A2001B">
              <w:rPr>
                <w:rFonts w:ascii="Times New Roman" w:hAnsi="Times New Roman"/>
                <w:sz w:val="20"/>
                <w:szCs w:val="20"/>
              </w:rPr>
              <w:t>es consistent.</w:t>
            </w:r>
          </w:p>
        </w:tc>
        <w:tc>
          <w:tcPr>
            <w:tcW w:w="1014" w:type="pct"/>
          </w:tcPr>
          <w:p w14:paraId="1843EF83" w14:textId="77777777" w:rsidR="00673177" w:rsidRPr="00A2001B" w:rsidRDefault="00F735A6" w:rsidP="00A20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01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</w:tbl>
    <w:p w14:paraId="4C51F684" w14:textId="62783269" w:rsidR="00673177" w:rsidRPr="00A2001B" w:rsidRDefault="00BA2EAA" w:rsidP="00A20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2001B">
        <w:rPr>
          <w:rFonts w:ascii="Times New Roman" w:hAnsi="Times New Roman"/>
          <w:b/>
          <w:sz w:val="20"/>
          <w:szCs w:val="20"/>
        </w:rPr>
        <w:t xml:space="preserve">Source: </w:t>
      </w:r>
      <w:r w:rsidR="00B157EA" w:rsidRPr="00A2001B">
        <w:rPr>
          <w:rFonts w:ascii="Times New Roman" w:hAnsi="Times New Roman"/>
          <w:b/>
          <w:sz w:val="20"/>
          <w:szCs w:val="20"/>
        </w:rPr>
        <w:t>R</w:t>
      </w:r>
      <w:r w:rsidRPr="00A2001B">
        <w:rPr>
          <w:rFonts w:ascii="Times New Roman" w:hAnsi="Times New Roman"/>
          <w:b/>
          <w:sz w:val="20"/>
          <w:szCs w:val="20"/>
        </w:rPr>
        <w:t>esearch data interpreted by the author</w:t>
      </w:r>
      <w:bookmarkEnd w:id="5"/>
    </w:p>
    <w:p w14:paraId="7F6AF334" w14:textId="77777777" w:rsidR="00784906" w:rsidRPr="00A2001B" w:rsidRDefault="00784906" w:rsidP="00A2001B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sectPr w:rsidR="00784906" w:rsidRPr="00A2001B" w:rsidSect="00686DEC"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E8DDD" w14:textId="77777777" w:rsidR="000D56E0" w:rsidRDefault="000D56E0" w:rsidP="001133C1">
      <w:pPr>
        <w:spacing w:after="0" w:line="240" w:lineRule="auto"/>
      </w:pPr>
      <w:r>
        <w:separator/>
      </w:r>
    </w:p>
  </w:endnote>
  <w:endnote w:type="continuationSeparator" w:id="0">
    <w:p w14:paraId="60B72D54" w14:textId="77777777" w:rsidR="000D56E0" w:rsidRDefault="000D56E0" w:rsidP="0011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57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AD767" w14:textId="3D4FAD8E" w:rsidR="006C4390" w:rsidRDefault="006C43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66649" w14:textId="77777777" w:rsidR="006C4390" w:rsidRDefault="006C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D22BA" w14:textId="77777777" w:rsidR="000D56E0" w:rsidRDefault="000D56E0" w:rsidP="001133C1">
      <w:pPr>
        <w:spacing w:after="0" w:line="240" w:lineRule="auto"/>
      </w:pPr>
      <w:r>
        <w:separator/>
      </w:r>
    </w:p>
  </w:footnote>
  <w:footnote w:type="continuationSeparator" w:id="0">
    <w:p w14:paraId="0F292C2C" w14:textId="77777777" w:rsidR="000D56E0" w:rsidRDefault="000D56E0" w:rsidP="00113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04FC0"/>
    <w:multiLevelType w:val="hybridMultilevel"/>
    <w:tmpl w:val="9FBEE576"/>
    <w:lvl w:ilvl="0" w:tplc="71565194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  <w:lang w:val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177"/>
    <w:rsid w:val="00004E4A"/>
    <w:rsid w:val="00012F05"/>
    <w:rsid w:val="00015EB7"/>
    <w:rsid w:val="00017A05"/>
    <w:rsid w:val="00025723"/>
    <w:rsid w:val="00030C33"/>
    <w:rsid w:val="00034BBA"/>
    <w:rsid w:val="000403A3"/>
    <w:rsid w:val="000457BB"/>
    <w:rsid w:val="000467B9"/>
    <w:rsid w:val="00047C52"/>
    <w:rsid w:val="00053B60"/>
    <w:rsid w:val="00061016"/>
    <w:rsid w:val="00081F94"/>
    <w:rsid w:val="00092AE4"/>
    <w:rsid w:val="0009746E"/>
    <w:rsid w:val="000B50BE"/>
    <w:rsid w:val="000B5336"/>
    <w:rsid w:val="000B6C67"/>
    <w:rsid w:val="000C5ABC"/>
    <w:rsid w:val="000D56E0"/>
    <w:rsid w:val="000D7A8F"/>
    <w:rsid w:val="000E0EB3"/>
    <w:rsid w:val="000E38D4"/>
    <w:rsid w:val="00100B90"/>
    <w:rsid w:val="00102B5B"/>
    <w:rsid w:val="00112FAD"/>
    <w:rsid w:val="001133C1"/>
    <w:rsid w:val="00136B0A"/>
    <w:rsid w:val="001414FB"/>
    <w:rsid w:val="001473F4"/>
    <w:rsid w:val="00152233"/>
    <w:rsid w:val="001611F9"/>
    <w:rsid w:val="00163593"/>
    <w:rsid w:val="00164679"/>
    <w:rsid w:val="00164DB1"/>
    <w:rsid w:val="00171535"/>
    <w:rsid w:val="0017470F"/>
    <w:rsid w:val="00174B8B"/>
    <w:rsid w:val="00177980"/>
    <w:rsid w:val="00184932"/>
    <w:rsid w:val="00186DD3"/>
    <w:rsid w:val="00190587"/>
    <w:rsid w:val="00195D1D"/>
    <w:rsid w:val="001A4229"/>
    <w:rsid w:val="001B20E8"/>
    <w:rsid w:val="001B71AE"/>
    <w:rsid w:val="001D2853"/>
    <w:rsid w:val="001D2F35"/>
    <w:rsid w:val="001E07A5"/>
    <w:rsid w:val="001E5434"/>
    <w:rsid w:val="001E55C1"/>
    <w:rsid w:val="001F113E"/>
    <w:rsid w:val="001F152E"/>
    <w:rsid w:val="0020024D"/>
    <w:rsid w:val="00205570"/>
    <w:rsid w:val="002055AB"/>
    <w:rsid w:val="002200B7"/>
    <w:rsid w:val="00222D29"/>
    <w:rsid w:val="00227EA4"/>
    <w:rsid w:val="002347CB"/>
    <w:rsid w:val="00234947"/>
    <w:rsid w:val="002415B0"/>
    <w:rsid w:val="002424B5"/>
    <w:rsid w:val="00250824"/>
    <w:rsid w:val="00260B4B"/>
    <w:rsid w:val="0026455E"/>
    <w:rsid w:val="00265EB5"/>
    <w:rsid w:val="00281735"/>
    <w:rsid w:val="0028723F"/>
    <w:rsid w:val="002904B2"/>
    <w:rsid w:val="00291738"/>
    <w:rsid w:val="0029391D"/>
    <w:rsid w:val="00295B70"/>
    <w:rsid w:val="002A060D"/>
    <w:rsid w:val="002A6259"/>
    <w:rsid w:val="002B29EB"/>
    <w:rsid w:val="002B3215"/>
    <w:rsid w:val="002B35B7"/>
    <w:rsid w:val="002C49C0"/>
    <w:rsid w:val="002C6426"/>
    <w:rsid w:val="002D2368"/>
    <w:rsid w:val="002E09BF"/>
    <w:rsid w:val="002E2E4C"/>
    <w:rsid w:val="002E363A"/>
    <w:rsid w:val="002F237E"/>
    <w:rsid w:val="002F3596"/>
    <w:rsid w:val="002F566D"/>
    <w:rsid w:val="00301DCB"/>
    <w:rsid w:val="003029BD"/>
    <w:rsid w:val="003048C3"/>
    <w:rsid w:val="00322081"/>
    <w:rsid w:val="003261A9"/>
    <w:rsid w:val="003267A9"/>
    <w:rsid w:val="00326DB4"/>
    <w:rsid w:val="00330274"/>
    <w:rsid w:val="0033282C"/>
    <w:rsid w:val="00333502"/>
    <w:rsid w:val="00334A57"/>
    <w:rsid w:val="003362EA"/>
    <w:rsid w:val="00350023"/>
    <w:rsid w:val="00357868"/>
    <w:rsid w:val="00366099"/>
    <w:rsid w:val="00366835"/>
    <w:rsid w:val="00375109"/>
    <w:rsid w:val="003A123B"/>
    <w:rsid w:val="003A2372"/>
    <w:rsid w:val="003A2E21"/>
    <w:rsid w:val="003A37F0"/>
    <w:rsid w:val="003B18EC"/>
    <w:rsid w:val="003B2DD2"/>
    <w:rsid w:val="003B4F38"/>
    <w:rsid w:val="003C221B"/>
    <w:rsid w:val="003C28C3"/>
    <w:rsid w:val="003C7865"/>
    <w:rsid w:val="003E09F1"/>
    <w:rsid w:val="003E2EA9"/>
    <w:rsid w:val="003E6786"/>
    <w:rsid w:val="003E6F2A"/>
    <w:rsid w:val="003F3851"/>
    <w:rsid w:val="003F5227"/>
    <w:rsid w:val="00402B7B"/>
    <w:rsid w:val="0040725F"/>
    <w:rsid w:val="00423CD1"/>
    <w:rsid w:val="00432C87"/>
    <w:rsid w:val="00436296"/>
    <w:rsid w:val="004447E9"/>
    <w:rsid w:val="00445B4D"/>
    <w:rsid w:val="0045642A"/>
    <w:rsid w:val="00457437"/>
    <w:rsid w:val="0048232F"/>
    <w:rsid w:val="004842E2"/>
    <w:rsid w:val="00486D75"/>
    <w:rsid w:val="00486F84"/>
    <w:rsid w:val="004976E7"/>
    <w:rsid w:val="004A3D32"/>
    <w:rsid w:val="004B2F00"/>
    <w:rsid w:val="004B4AEB"/>
    <w:rsid w:val="004C6B86"/>
    <w:rsid w:val="004C792C"/>
    <w:rsid w:val="004D432D"/>
    <w:rsid w:val="004E0E1C"/>
    <w:rsid w:val="004F5E6B"/>
    <w:rsid w:val="004F7707"/>
    <w:rsid w:val="00512E58"/>
    <w:rsid w:val="00512FFD"/>
    <w:rsid w:val="005156D7"/>
    <w:rsid w:val="005216CC"/>
    <w:rsid w:val="00523AE8"/>
    <w:rsid w:val="005271C6"/>
    <w:rsid w:val="00532FFE"/>
    <w:rsid w:val="005332F9"/>
    <w:rsid w:val="00540C3C"/>
    <w:rsid w:val="00546A89"/>
    <w:rsid w:val="00556607"/>
    <w:rsid w:val="005716F6"/>
    <w:rsid w:val="00580644"/>
    <w:rsid w:val="00592A0C"/>
    <w:rsid w:val="00594D70"/>
    <w:rsid w:val="005A5036"/>
    <w:rsid w:val="005A6DCB"/>
    <w:rsid w:val="005B456E"/>
    <w:rsid w:val="005B7D33"/>
    <w:rsid w:val="005C152C"/>
    <w:rsid w:val="005C1886"/>
    <w:rsid w:val="005C280F"/>
    <w:rsid w:val="005C3470"/>
    <w:rsid w:val="005D0A08"/>
    <w:rsid w:val="005D4A8E"/>
    <w:rsid w:val="005E152F"/>
    <w:rsid w:val="005F1EA7"/>
    <w:rsid w:val="0061169F"/>
    <w:rsid w:val="00611B79"/>
    <w:rsid w:val="006122EE"/>
    <w:rsid w:val="006164FF"/>
    <w:rsid w:val="00620106"/>
    <w:rsid w:val="006226C4"/>
    <w:rsid w:val="0062336F"/>
    <w:rsid w:val="00627AAB"/>
    <w:rsid w:val="00631471"/>
    <w:rsid w:val="0064497F"/>
    <w:rsid w:val="006527AD"/>
    <w:rsid w:val="00656979"/>
    <w:rsid w:val="00661A2B"/>
    <w:rsid w:val="00667A6A"/>
    <w:rsid w:val="00673177"/>
    <w:rsid w:val="00686443"/>
    <w:rsid w:val="00686DEC"/>
    <w:rsid w:val="006B7B21"/>
    <w:rsid w:val="006C4390"/>
    <w:rsid w:val="006C6D40"/>
    <w:rsid w:val="006D1FA7"/>
    <w:rsid w:val="006D20B0"/>
    <w:rsid w:val="006D5ED3"/>
    <w:rsid w:val="006D65D2"/>
    <w:rsid w:val="006E14BA"/>
    <w:rsid w:val="006E1669"/>
    <w:rsid w:val="006E49D7"/>
    <w:rsid w:val="00701FFD"/>
    <w:rsid w:val="007104E3"/>
    <w:rsid w:val="00725F6D"/>
    <w:rsid w:val="00726A3F"/>
    <w:rsid w:val="00732520"/>
    <w:rsid w:val="00733EE9"/>
    <w:rsid w:val="00737616"/>
    <w:rsid w:val="00743E8B"/>
    <w:rsid w:val="0074591D"/>
    <w:rsid w:val="007508F4"/>
    <w:rsid w:val="007529C5"/>
    <w:rsid w:val="00754C47"/>
    <w:rsid w:val="0076138A"/>
    <w:rsid w:val="00763456"/>
    <w:rsid w:val="00764A02"/>
    <w:rsid w:val="00766C56"/>
    <w:rsid w:val="00775E92"/>
    <w:rsid w:val="00777EB5"/>
    <w:rsid w:val="00784906"/>
    <w:rsid w:val="007875B7"/>
    <w:rsid w:val="007A097E"/>
    <w:rsid w:val="007A2B08"/>
    <w:rsid w:val="007B2B25"/>
    <w:rsid w:val="007B2B2C"/>
    <w:rsid w:val="007C3268"/>
    <w:rsid w:val="007C580F"/>
    <w:rsid w:val="007C70C8"/>
    <w:rsid w:val="007D6EB7"/>
    <w:rsid w:val="007D7A6F"/>
    <w:rsid w:val="007E2D75"/>
    <w:rsid w:val="007E4BE2"/>
    <w:rsid w:val="007F4EB7"/>
    <w:rsid w:val="007F6163"/>
    <w:rsid w:val="008011B4"/>
    <w:rsid w:val="00814E46"/>
    <w:rsid w:val="00836A08"/>
    <w:rsid w:val="00854D35"/>
    <w:rsid w:val="008637D3"/>
    <w:rsid w:val="00864BE3"/>
    <w:rsid w:val="00867DE8"/>
    <w:rsid w:val="008728D4"/>
    <w:rsid w:val="00892CCA"/>
    <w:rsid w:val="00894829"/>
    <w:rsid w:val="008B6D60"/>
    <w:rsid w:val="008B7FA5"/>
    <w:rsid w:val="008C194F"/>
    <w:rsid w:val="008D48BE"/>
    <w:rsid w:val="008D6CE4"/>
    <w:rsid w:val="008E0E07"/>
    <w:rsid w:val="008E363F"/>
    <w:rsid w:val="008E4292"/>
    <w:rsid w:val="008E566B"/>
    <w:rsid w:val="008F1BD3"/>
    <w:rsid w:val="008F1E53"/>
    <w:rsid w:val="008F6F4E"/>
    <w:rsid w:val="00900BB4"/>
    <w:rsid w:val="00900E2D"/>
    <w:rsid w:val="009051CD"/>
    <w:rsid w:val="00907291"/>
    <w:rsid w:val="009113CD"/>
    <w:rsid w:val="00913F64"/>
    <w:rsid w:val="00922E21"/>
    <w:rsid w:val="00927138"/>
    <w:rsid w:val="00950162"/>
    <w:rsid w:val="00956956"/>
    <w:rsid w:val="0095728D"/>
    <w:rsid w:val="009636B4"/>
    <w:rsid w:val="009778A0"/>
    <w:rsid w:val="0099320D"/>
    <w:rsid w:val="00995678"/>
    <w:rsid w:val="00997178"/>
    <w:rsid w:val="009A0B08"/>
    <w:rsid w:val="009A451D"/>
    <w:rsid w:val="009A756B"/>
    <w:rsid w:val="009B1B04"/>
    <w:rsid w:val="009B69C1"/>
    <w:rsid w:val="009C2598"/>
    <w:rsid w:val="009C2DE1"/>
    <w:rsid w:val="009C3A41"/>
    <w:rsid w:val="009C5551"/>
    <w:rsid w:val="009C5787"/>
    <w:rsid w:val="009D02B1"/>
    <w:rsid w:val="009D7256"/>
    <w:rsid w:val="009D77F5"/>
    <w:rsid w:val="009E1817"/>
    <w:rsid w:val="009E1ECF"/>
    <w:rsid w:val="009E23A3"/>
    <w:rsid w:val="009E3CD6"/>
    <w:rsid w:val="009E4100"/>
    <w:rsid w:val="009E7A90"/>
    <w:rsid w:val="009E7B3E"/>
    <w:rsid w:val="009F041A"/>
    <w:rsid w:val="009F504C"/>
    <w:rsid w:val="00A007D2"/>
    <w:rsid w:val="00A01FCE"/>
    <w:rsid w:val="00A0336D"/>
    <w:rsid w:val="00A1083B"/>
    <w:rsid w:val="00A11E1F"/>
    <w:rsid w:val="00A2001B"/>
    <w:rsid w:val="00A21D6D"/>
    <w:rsid w:val="00A235B7"/>
    <w:rsid w:val="00A26FC0"/>
    <w:rsid w:val="00A27D21"/>
    <w:rsid w:val="00A358E3"/>
    <w:rsid w:val="00A3706E"/>
    <w:rsid w:val="00A45ABC"/>
    <w:rsid w:val="00A51FD5"/>
    <w:rsid w:val="00A56C9D"/>
    <w:rsid w:val="00A72B35"/>
    <w:rsid w:val="00A8071A"/>
    <w:rsid w:val="00A80A62"/>
    <w:rsid w:val="00A8708B"/>
    <w:rsid w:val="00A8746D"/>
    <w:rsid w:val="00A9073D"/>
    <w:rsid w:val="00A91BAA"/>
    <w:rsid w:val="00A92A0E"/>
    <w:rsid w:val="00A93BC1"/>
    <w:rsid w:val="00A949C2"/>
    <w:rsid w:val="00AA5476"/>
    <w:rsid w:val="00AA5D5A"/>
    <w:rsid w:val="00AA77B1"/>
    <w:rsid w:val="00AB0D91"/>
    <w:rsid w:val="00AB342C"/>
    <w:rsid w:val="00AB51D9"/>
    <w:rsid w:val="00AB749A"/>
    <w:rsid w:val="00AC10CB"/>
    <w:rsid w:val="00AC138B"/>
    <w:rsid w:val="00AC4940"/>
    <w:rsid w:val="00AD1046"/>
    <w:rsid w:val="00AE754C"/>
    <w:rsid w:val="00AE7F1F"/>
    <w:rsid w:val="00AF350C"/>
    <w:rsid w:val="00AF6324"/>
    <w:rsid w:val="00B003BB"/>
    <w:rsid w:val="00B0119E"/>
    <w:rsid w:val="00B0273E"/>
    <w:rsid w:val="00B052F9"/>
    <w:rsid w:val="00B125FE"/>
    <w:rsid w:val="00B157EA"/>
    <w:rsid w:val="00B21203"/>
    <w:rsid w:val="00B2674B"/>
    <w:rsid w:val="00B45319"/>
    <w:rsid w:val="00B47953"/>
    <w:rsid w:val="00B55C8E"/>
    <w:rsid w:val="00B707D4"/>
    <w:rsid w:val="00B93269"/>
    <w:rsid w:val="00B95C11"/>
    <w:rsid w:val="00BA07BF"/>
    <w:rsid w:val="00BA24A7"/>
    <w:rsid w:val="00BA2EAA"/>
    <w:rsid w:val="00BC0095"/>
    <w:rsid w:val="00BE0B43"/>
    <w:rsid w:val="00BE6037"/>
    <w:rsid w:val="00BF1060"/>
    <w:rsid w:val="00BF387D"/>
    <w:rsid w:val="00BF6FB1"/>
    <w:rsid w:val="00BF7102"/>
    <w:rsid w:val="00C003D9"/>
    <w:rsid w:val="00C164E1"/>
    <w:rsid w:val="00C23A9A"/>
    <w:rsid w:val="00C34CF5"/>
    <w:rsid w:val="00C365A4"/>
    <w:rsid w:val="00C51458"/>
    <w:rsid w:val="00C55408"/>
    <w:rsid w:val="00C64855"/>
    <w:rsid w:val="00C64B31"/>
    <w:rsid w:val="00C72AE4"/>
    <w:rsid w:val="00C83A65"/>
    <w:rsid w:val="00C8679B"/>
    <w:rsid w:val="00C934A9"/>
    <w:rsid w:val="00C937B9"/>
    <w:rsid w:val="00C95410"/>
    <w:rsid w:val="00C96E95"/>
    <w:rsid w:val="00CA0187"/>
    <w:rsid w:val="00CA5D3E"/>
    <w:rsid w:val="00CA70D1"/>
    <w:rsid w:val="00CB025F"/>
    <w:rsid w:val="00CB2FBD"/>
    <w:rsid w:val="00CB7B54"/>
    <w:rsid w:val="00CC2CD2"/>
    <w:rsid w:val="00CD280D"/>
    <w:rsid w:val="00CD774F"/>
    <w:rsid w:val="00CE759C"/>
    <w:rsid w:val="00CF7633"/>
    <w:rsid w:val="00D05C31"/>
    <w:rsid w:val="00D1047C"/>
    <w:rsid w:val="00D152B5"/>
    <w:rsid w:val="00D3624C"/>
    <w:rsid w:val="00D41A77"/>
    <w:rsid w:val="00D42C0E"/>
    <w:rsid w:val="00D44565"/>
    <w:rsid w:val="00D51C25"/>
    <w:rsid w:val="00D623FD"/>
    <w:rsid w:val="00D77A3C"/>
    <w:rsid w:val="00D84074"/>
    <w:rsid w:val="00D8615D"/>
    <w:rsid w:val="00D925C2"/>
    <w:rsid w:val="00D92707"/>
    <w:rsid w:val="00D947BF"/>
    <w:rsid w:val="00D97704"/>
    <w:rsid w:val="00DA0A12"/>
    <w:rsid w:val="00DA1C48"/>
    <w:rsid w:val="00DA2D5D"/>
    <w:rsid w:val="00DA3768"/>
    <w:rsid w:val="00DA7BE5"/>
    <w:rsid w:val="00DD0EB6"/>
    <w:rsid w:val="00DE1E4F"/>
    <w:rsid w:val="00DF3510"/>
    <w:rsid w:val="00DF3B7D"/>
    <w:rsid w:val="00DF7C0D"/>
    <w:rsid w:val="00E06E65"/>
    <w:rsid w:val="00E13FC6"/>
    <w:rsid w:val="00E25C14"/>
    <w:rsid w:val="00E26F69"/>
    <w:rsid w:val="00E322E6"/>
    <w:rsid w:val="00E420CA"/>
    <w:rsid w:val="00E443D2"/>
    <w:rsid w:val="00E51DD1"/>
    <w:rsid w:val="00E54CCA"/>
    <w:rsid w:val="00E54D10"/>
    <w:rsid w:val="00E66A06"/>
    <w:rsid w:val="00E739B3"/>
    <w:rsid w:val="00E75E2B"/>
    <w:rsid w:val="00E77153"/>
    <w:rsid w:val="00E81396"/>
    <w:rsid w:val="00EA6121"/>
    <w:rsid w:val="00EB407E"/>
    <w:rsid w:val="00EC474D"/>
    <w:rsid w:val="00EE08F1"/>
    <w:rsid w:val="00EE57AF"/>
    <w:rsid w:val="00EF509A"/>
    <w:rsid w:val="00EF77A4"/>
    <w:rsid w:val="00EF7C40"/>
    <w:rsid w:val="00F0159B"/>
    <w:rsid w:val="00F0608C"/>
    <w:rsid w:val="00F15BD1"/>
    <w:rsid w:val="00F22168"/>
    <w:rsid w:val="00F227D7"/>
    <w:rsid w:val="00F23BBA"/>
    <w:rsid w:val="00F4476C"/>
    <w:rsid w:val="00F46519"/>
    <w:rsid w:val="00F502F8"/>
    <w:rsid w:val="00F52AAF"/>
    <w:rsid w:val="00F702C6"/>
    <w:rsid w:val="00F735A6"/>
    <w:rsid w:val="00F756AB"/>
    <w:rsid w:val="00F777B5"/>
    <w:rsid w:val="00F817A8"/>
    <w:rsid w:val="00F920F8"/>
    <w:rsid w:val="00F947E1"/>
    <w:rsid w:val="00F95CC1"/>
    <w:rsid w:val="00FA2CC3"/>
    <w:rsid w:val="00FA7094"/>
    <w:rsid w:val="00FB06E0"/>
    <w:rsid w:val="00FB209D"/>
    <w:rsid w:val="00FC3C3F"/>
    <w:rsid w:val="00FD6866"/>
    <w:rsid w:val="00FD72C1"/>
    <w:rsid w:val="00FE3F36"/>
    <w:rsid w:val="00FF2DBD"/>
    <w:rsid w:val="00FF5D9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96D8C"/>
  <w15:docId w15:val="{674D1022-4DCC-4601-A9EB-B0D70E9D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17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3177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73177"/>
    <w:pPr>
      <w:spacing w:after="0" w:line="360" w:lineRule="auto"/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673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Dpaper-Text">
    <w:name w:val="IDpaper-Text"/>
    <w:basedOn w:val="Normal"/>
    <w:rsid w:val="00673177"/>
    <w:pPr>
      <w:widowControl w:val="0"/>
      <w:tabs>
        <w:tab w:val="left" w:pos="284"/>
      </w:tabs>
      <w:spacing w:after="120" w:line="240" w:lineRule="auto"/>
    </w:pPr>
    <w:rPr>
      <w:rFonts w:ascii="Arial" w:eastAsia="Times New Roman" w:hAnsi="Arial"/>
      <w:kern w:val="16"/>
      <w:sz w:val="20"/>
      <w:szCs w:val="20"/>
      <w:lang w:val="en-GB"/>
    </w:rPr>
  </w:style>
  <w:style w:type="character" w:customStyle="1" w:styleId="apple-converted-space">
    <w:name w:val="apple-converted-space"/>
    <w:rsid w:val="00673177"/>
  </w:style>
  <w:style w:type="paragraph" w:styleId="BalloonText">
    <w:name w:val="Balloon Text"/>
    <w:basedOn w:val="Normal"/>
    <w:link w:val="BalloonTextChar"/>
    <w:uiPriority w:val="99"/>
    <w:semiHidden/>
    <w:unhideWhenUsed/>
    <w:rsid w:val="0089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2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C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702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02C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A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F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FF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FFE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F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FFE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46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4270-4B06-432E-B7D0-5DEDED6C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1695</Words>
  <Characters>9153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Usuário do Windows</cp:lastModifiedBy>
  <cp:revision>5</cp:revision>
  <cp:lastPrinted>2017-08-01T17:44:00Z</cp:lastPrinted>
  <dcterms:created xsi:type="dcterms:W3CDTF">2017-08-02T14:06:00Z</dcterms:created>
  <dcterms:modified xsi:type="dcterms:W3CDTF">2018-01-31T18:38:00Z</dcterms:modified>
</cp:coreProperties>
</file>